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10/100/1000Base-T (RJ-45) [100 m] to 100Base-FX 1310nm single mode (SC) [20 km/12.4 mi.] Link Budget: 16.0 dB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**Media Converters
</w:t>
      </w:r>
    </w:p>
    <w:p>
      <w:pPr/>
      <w:r>
        <w:rPr/>
        <w:t xml:space="preserve">The ION C2220 is a managed Network Interface Device (NID) module that provides an interface between 10/100/1000Base-T ports and 100Base-FX ports, allowing users to manage their links while integrating fiber optic cabling into 10/100/1000 copper environments. As a remotely managed device, the C2220 can be managed individually via an IP address or it can be managed by the ION Management Module when installed in a managed ION chassis. With advanced features like IEEE 802.3ah Link OAM, VLAN, QoS, SSH/SSL, jumbo frame support, and bandwidth allocation, the C2220 provides various methods for secure delivery of Ethernet services in business and mobile backhaul applications.
**Features
• MEF 9, 14 + 21 certified
• IEEE 802.3ah Link OAM
• 10K Jumbo Frame Support
• Two selectable Remote management modes:
• IP-Based Remote Management
• In-Band (remote device managed by local peer)
• Auto-MDI/MDIX
• Auto-Negotiation
• Pause
• Link Pass Through
• Far-End-Fault (FEF)
• Remote Loopback
• Field Upgradeable Firmware
• IEEE 802.1p QoS Packet Classification
• IEEE 802.1q VLAN and double VLAN tagging with 4096 VIDs
• DHCP client
• SNTP
• TFTP
• RADIUS client
• RMON counters for each port
• Bandwidth profiling
• DMI Optical Management
• Cable diagnostic function for copper ports
• SSH
• Telnet
• Command Line Interface (CLI)
• Web management
• Focal Point management
• SNMP v1, v2c, and v3
• USB port for basic setup
• Management VLAN
</w:t>
      </w:r>
    </w:p>
    <w:p>
      <w:pPr/>
      <w:r>
        <w:rPr/>
        <w:t xml:space="preserve">**TECHNISCHE_DATEN
</w:t>
      </w:r>
    </w:p>
    <w:p>
      <w:pPr/>
      <w:r>
        <w:rPr/>
        <w:t xml:space="preserve">
***Standards
• IEEE 802.3
• IEEE 802.3ah
• IEEE 802.1p
• IEEE 802.1Q
***Data Rate
• Copper: 10/100/1000 Mbps
• Fiber: 100 Mbps
***Filtering Addresses
• 8K MAC Addresses
***Max Frame Size
• 10,240 bytes
***Dimensions
• Width: 0.86” [22 mm]
• Depth: 6.5” [165 mm]
• Height: 3.4” [86 mm]
***Power Consumption
• 4.5 Watts
***Environment
• Environment specs are dependent on the chassis chosen
• Operating: 0°C to 50°C
• Humidity: 5% to 95% (non-condensing)
• Altitude: 0 – 10,000 ft.
***Weight
• 1 lb. [0.45 kg]
***Certifications
• EN55022 Class A, EN55024, CE Mark
***Warranty
• Lifetime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C2220-1014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2025-04-18T22:49:19+00:00</dcterms:created>
  <dcterms:modified xsi:type="dcterms:W3CDTF">2025-04-18T22:49:19+00:00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