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24 - LWL Dark Fiber Modul 4x 24F MPO ohne Pins/12x 12F MPO m. Pins 50/125µ OM5, SR4
</w:t>
      </w:r>
    </w:p>
    <w:p>
      <w:pPr/>
      <w:r>
        <w:rPr/>
        <w:t xml:space="preserve">**tML® 24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tde Modular Link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800G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24 - LWL Module MPO/MTP®
</w:t>
      </w:r>
    </w:p>
    <w:p>
      <w:pPr/>
      <w:r>
        <w:rPr/>
        <w:t xml:space="preserve">Das tML® 24 – LWL Dark Fiber Modul MPO/MTP® nutzt alle Fasern der Rückraumverkabelungen und ist für den Einbau im 1HE tML® - Modulträger (für 8 x Module) vorgesehen.
</w:t>
      </w:r>
    </w:p>
    <w:p>
      <w:pPr/>
      <w:r>
        <w:rPr/>
        <w:t xml:space="preserve">**TECHNISCHE_DATEN
</w:t>
      </w:r>
    </w:p>
    <w:p>
      <w:pPr/>
      <w:r>
        <w:rPr/>
        <w:t xml:space="preserve">Die Endflächen der Steckverbinder sind mittels Lasercleaving und Maschinenpolitur optimiert. Die MPO/MTP®Stecker besitzen einen definierten Faserüberstand von 1 - 3.5µ. Die Max. Höhendifferenz benachbarter Fasern beträgt 0.2µm und die aller Fasern 0.3µm. Alle Systemkomponenten (Module, Trunkkabel und Patchkabel) sind zur Erreichung der Performance speziell aufeinander abgestimmt. Das Modul ist beschriftet mit fortlaufender Seriennummer und Artikelnummer. Die Module sind ROHS-konform.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Eingang</w:t>
            </w:r>
          </w:p>
        </w:tc>
        <w:tc>
          <w:tcPr>
            <w:tcW w:w="7500" w:type="dxa"/>
          </w:tcPr>
          <w:p>
            <w:pPr/>
            <w:r>
              <w:rPr/>
              <w:t xml:space="preserve">4 x MPO/MTP®24 Fasern Female Kupplungen (rot) rückseitig</w:t>
            </w:r>
          </w:p>
        </w:tc>
      </w:tr>
      <w:tr>
        <w:trPr/>
        <w:tc>
          <w:tcPr>
            <w:tcW w:w="2500" w:type="dxa"/>
            <w:shd w:val="clear" w:fill="D9D9D9"/>
          </w:tcPr>
          <w:p>
            <w:pPr/>
            <w:r>
              <w:rPr/>
              <w:t xml:space="preserve">Ausgang</w:t>
            </w:r>
          </w:p>
        </w:tc>
        <w:tc>
          <w:tcPr>
            <w:tcW w:w="7500" w:type="dxa"/>
          </w:tcPr>
          <w:p>
            <w:pPr/>
            <w:r>
              <w:rPr/>
              <w:t xml:space="preserve">12 x MPO/MTP®12 Fasern Male Kupplungen (limegreen) frontseitig</w:t>
            </w:r>
          </w:p>
        </w:tc>
      </w:tr>
      <w:tr>
        <w:trPr/>
        <w:tc>
          <w:tcPr>
            <w:tcW w:w="2500" w:type="dxa"/>
            <w:shd w:val="clear" w:fill="D9D9D9"/>
          </w:tcPr>
          <w:p>
            <w:pPr/>
            <w:r>
              <w:rPr/>
              <w:t xml:space="preserve">Tests</w:t>
            </w:r>
          </w:p>
        </w:tc>
        <w:tc>
          <w:tcPr>
            <w:tcW w:w="7500" w:type="dxa"/>
          </w:tcPr>
          <w:p>
            <w:pPr/>
            <w:r>
              <w:rPr/>
              <w:t xml:space="preserve">Interferometermessung, Einfüge- und Rückflußdämpfungsmessungen und visuelle Endkontrolle; alle Messwerte sind elektronisch abrufbar</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Gehäuse</w:t>
            </w:r>
          </w:p>
        </w:tc>
        <w:tc>
          <w:tcPr>
            <w:tcW w:w="7500" w:type="dxa"/>
          </w:tcPr>
          <w:p>
            <w:pPr/>
            <w:r>
              <w:rPr/>
              <w:t xml:space="preserve">Stahlblech verzinkt</w:t>
            </w:r>
          </w:p>
        </w:tc>
      </w:tr>
      <w:tr>
        <w:trPr/>
        <w:tc>
          <w:tcPr>
            <w:tcW w:w="2500" w:type="dxa"/>
            <w:shd w:val="clear" w:fill="D9D9D9"/>
          </w:tcPr>
          <w:p>
            <w:pPr/>
            <w:r>
              <w:rPr/>
              <w:t xml:space="preserve">Frontplattenfarbe</w:t>
            </w:r>
          </w:p>
        </w:tc>
        <w:tc>
          <w:tcPr>
            <w:tcW w:w="7500" w:type="dxa"/>
          </w:tcPr>
          <w:p>
            <w:pPr/>
            <w:r>
              <w:rPr/>
              <w:t xml:space="preserve">Edelstahl</w:t>
            </w:r>
          </w:p>
        </w:tc>
      </w:tr>
      <w:tr>
        <w:trPr/>
        <w:tc>
          <w:tcPr>
            <w:tcW w:w="2500" w:type="dxa"/>
            <w:shd w:val="clear" w:fill="D9D9D9"/>
          </w:tcPr>
          <w:p>
            <w:pPr/>
            <w:r>
              <w:rPr/>
              <w:t xml:space="preserve">Abmessungen</w:t>
            </w:r>
          </w:p>
        </w:tc>
        <w:tc>
          <w:tcPr>
            <w:tcW w:w="7500" w:type="dxa"/>
          </w:tcPr>
          <w:p>
            <w:pPr/>
            <w:r>
              <w:rPr/>
              <w:t xml:space="preserve">110 x 108 x 20 mm</w:t>
            </w:r>
          </w:p>
        </w:tc>
      </w:tr>
    </w:tbl>
    <w:p>
      <w:pPr/>
      <w:r>
        <w:rPr/>
        <w:t xml:space="preserve"/>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MPO/MTP®</w:t>
            </w:r>
          </w:p>
        </w:tc>
      </w:tr>
      <w:tr>
        <w:trPr/>
        <w:tc>
          <w:tcPr>
            <w:tcW w:w="2500" w:type="dxa"/>
            <w:shd w:val="clear" w:fill="D9D9D9"/>
          </w:tcPr>
          <w:p>
            <w:pPr/>
            <w:r>
              <w:rPr/>
              <w:t xml:space="preserve">Anwendung</w:t>
            </w:r>
          </w:p>
        </w:tc>
        <w:tc>
          <w:tcPr>
            <w:tcW w:w="7500" w:type="dxa"/>
          </w:tcPr>
          <w:p>
            <w:pPr/>
            <w:r>
              <w:rPr/>
              <w:t xml:space="preserve">Singlemode / Multimode</w:t>
            </w:r>
          </w:p>
        </w:tc>
      </w:tr>
      <w:tr>
        <w:trPr/>
        <w:tc>
          <w:tcPr>
            <w:tcW w:w="2500" w:type="dxa"/>
            <w:shd w:val="clear" w:fill="D9D9D9"/>
          </w:tcPr>
          <w:p>
            <w:pPr/>
            <w:r>
              <w:rPr/>
              <w:t xml:space="preserve">Bauform</w:t>
            </w:r>
          </w:p>
        </w:tc>
        <w:tc>
          <w:tcPr>
            <w:tcW w:w="7500" w:type="dxa"/>
          </w:tcPr>
          <w:p>
            <w:pPr/>
            <w:r>
              <w:rPr/>
              <w:t xml:space="preserve">ohne Flansch</w:t>
            </w:r>
          </w:p>
        </w:tc>
      </w:tr>
      <w:tr>
        <w:trPr/>
        <w:tc>
          <w:tcPr>
            <w:tcW w:w="2500" w:type="dxa"/>
            <w:shd w:val="clear" w:fill="D9D9D9"/>
          </w:tcPr>
          <w:p>
            <w:pPr/>
            <w:r>
              <w:rPr/>
              <w:t xml:space="preserve">Einbauform</w:t>
            </w:r>
          </w:p>
        </w:tc>
        <w:tc>
          <w:tcPr>
            <w:tcW w:w="7500" w:type="dxa"/>
          </w:tcPr>
          <w:p>
            <w:pPr/>
            <w:r>
              <w:rPr/>
              <w:t xml:space="preserve">SC Simplex</w:t>
            </w:r>
          </w:p>
        </w:tc>
      </w:tr>
      <w:tr>
        <w:trPr/>
        <w:tc>
          <w:tcPr>
            <w:tcW w:w="2500" w:type="dxa"/>
            <w:shd w:val="clear" w:fill="D9D9D9"/>
          </w:tcPr>
          <w:p>
            <w:pPr/>
            <w:r>
              <w:rPr/>
              <w:t xml:space="preserve">Orientierung</w:t>
            </w:r>
          </w:p>
        </w:tc>
        <w:tc>
          <w:tcPr>
            <w:tcW w:w="7500" w:type="dxa"/>
          </w:tcPr>
          <w:p>
            <w:pPr/>
            <w:r>
              <w:rPr/>
              <w:t xml:space="preserve">Typ A, Key up/down</w:t>
            </w:r>
          </w:p>
        </w:tc>
      </w:tr>
      <w:tr>
        <w:trPr/>
        <w:tc>
          <w:tcPr>
            <w:tcW w:w="2500" w:type="dxa"/>
            <w:shd w:val="clear" w:fill="D9D9D9"/>
          </w:tcPr>
          <w:p>
            <w:pPr/>
            <w:r>
              <w:rPr/>
              <w:t xml:space="preserve">Farbe</w:t>
            </w:r>
          </w:p>
        </w:tc>
        <w:tc>
          <w:tcPr>
            <w:tcW w:w="7500" w:type="dxa"/>
          </w:tcPr>
          <w:p>
            <w:pPr/>
            <w:r>
              <w:rPr/>
              <w:t xml:space="preserve">Rot</w:t>
            </w:r>
          </w:p>
        </w:tc>
      </w:tr>
      <w:tr>
        <w:trPr/>
        <w:tc>
          <w:tcPr>
            <w:tcW w:w="2500" w:type="dxa"/>
            <w:shd w:val="clear" w:fill="D9D9D9"/>
          </w:tcPr>
          <w:p>
            <w:pPr/>
            <w:r>
              <w:rPr/>
              <w:t xml:space="preserve">Material</w:t>
            </w:r>
          </w:p>
        </w:tc>
        <w:tc>
          <w:tcPr>
            <w:tcW w:w="7500" w:type="dxa"/>
          </w:tcPr>
          <w:p>
            <w:pPr/>
            <w:r>
              <w:rPr/>
              <w:t xml:space="preserve">Kunststoff</w:t>
            </w:r>
          </w:p>
        </w:tc>
      </w:tr>
      <w:tr>
        <w:trPr/>
        <w:tc>
          <w:tcPr>
            <w:tcW w:w="2500" w:type="dxa"/>
            <w:shd w:val="clear" w:fill="D9D9D9"/>
          </w:tcPr>
          <w:p>
            <w:pPr/>
            <w:r>
              <w:rPr/>
              <w:t xml:space="preserve">Hülse</w:t>
            </w:r>
          </w:p>
        </w:tc>
        <w:tc>
          <w:tcPr>
            <w:tcW w:w="7500" w:type="dxa"/>
          </w:tcPr>
          <w:p>
            <w:pPr/>
            <w:r>
              <w:rPr/>
              <w:t xml:space="preserve">--</w:t>
            </w:r>
          </w:p>
        </w:tc>
      </w:tr>
      <w:tr>
        <w:trPr/>
        <w:tc>
          <w:tcPr>
            <w:tcW w:w="2500" w:type="dxa"/>
            <w:shd w:val="clear" w:fill="D9D9D9"/>
          </w:tcPr>
          <w:p>
            <w:pPr/>
            <w:r>
              <w:rPr/>
              <w:t xml:space="preserve">Klappe</w:t>
            </w:r>
          </w:p>
        </w:tc>
        <w:tc>
          <w:tcPr>
            <w:tcW w:w="7500" w:type="dxa"/>
          </w:tcPr>
          <w:p>
            <w:pPr/>
            <w:r>
              <w:rPr/>
              <w:t xml:space="preserve">--</w:t>
            </w:r>
          </w:p>
        </w:tc>
      </w:tr>
      <w:tr>
        <w:trPr/>
        <w:tc>
          <w:tcPr>
            <w:tcW w:w="2500" w:type="dxa"/>
            <w:shd w:val="clear" w:fill="D9D9D9"/>
          </w:tcPr>
          <w:p>
            <w:pPr/>
            <w:r>
              <w:rPr/>
              <w:t xml:space="preserve">Standards</w:t>
            </w:r>
          </w:p>
        </w:tc>
        <w:tc>
          <w:tcPr>
            <w:tcW w:w="7500" w:type="dxa"/>
          </w:tcPr>
          <w:p>
            <w:pPr/>
            <w:r>
              <w:rPr/>
              <w:t xml:space="preserve">IEC 61754-7 TIA 604-5</w:t>
            </w:r>
          </w:p>
        </w:tc>
      </w:tr>
      <w:tr>
        <w:trPr/>
        <w:tc>
          <w:tcPr>
            <w:tcW w:w="2500" w:type="dxa"/>
            <w:shd w:val="clear" w:fill="D9D9D9"/>
          </w:tcPr>
          <w:p>
            <w:pPr/>
            <w:r>
              <w:rPr/>
              <w:t xml:space="preserve">Hersteller</w:t>
            </w:r>
          </w:p>
        </w:tc>
        <w:tc>
          <w:tcPr>
            <w:tcW w:w="7500" w:type="dxa"/>
          </w:tcPr>
          <w:p>
            <w:pPr/>
            <w:r>
              <w:rPr/>
              <w:t xml:space="preserve">US Conec</w:t>
            </w:r>
          </w:p>
        </w:tc>
      </w:tr>
    </w:tbl>
    <w:p>
      <w:pPr/>
      <w:r>
        <w:rPr/>
        <w:t xml:space="preserve"/>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MPO/MTP®</w:t>
            </w:r>
          </w:p>
        </w:tc>
      </w:tr>
      <w:tr>
        <w:trPr/>
        <w:tc>
          <w:tcPr>
            <w:tcW w:w="2500" w:type="dxa"/>
            <w:shd w:val="clear" w:fill="D9D9D9"/>
          </w:tcPr>
          <w:p>
            <w:pPr/>
            <w:r>
              <w:rPr/>
              <w:t xml:space="preserve">Anwendung</w:t>
            </w:r>
          </w:p>
        </w:tc>
        <w:tc>
          <w:tcPr>
            <w:tcW w:w="7500" w:type="dxa"/>
          </w:tcPr>
          <w:p>
            <w:pPr/>
            <w:r>
              <w:rPr/>
              <w:t xml:space="preserve">Multimode OM5</w:t>
            </w:r>
          </w:p>
        </w:tc>
      </w:tr>
      <w:tr>
        <w:trPr/>
        <w:tc>
          <w:tcPr>
            <w:tcW w:w="2500" w:type="dxa"/>
            <w:shd w:val="clear" w:fill="D9D9D9"/>
          </w:tcPr>
          <w:p>
            <w:pPr/>
            <w:r>
              <w:rPr/>
              <w:t xml:space="preserve">Bauform</w:t>
            </w:r>
          </w:p>
        </w:tc>
        <w:tc>
          <w:tcPr>
            <w:tcW w:w="7500" w:type="dxa"/>
          </w:tcPr>
          <w:p>
            <w:pPr/>
            <w:r>
              <w:rPr/>
              <w:t xml:space="preserve">ohne Flansch</w:t>
            </w:r>
          </w:p>
        </w:tc>
      </w:tr>
      <w:tr>
        <w:trPr/>
        <w:tc>
          <w:tcPr>
            <w:tcW w:w="2500" w:type="dxa"/>
            <w:shd w:val="clear" w:fill="D9D9D9"/>
          </w:tcPr>
          <w:p>
            <w:pPr/>
            <w:r>
              <w:rPr/>
              <w:t xml:space="preserve">Einbauform</w:t>
            </w:r>
          </w:p>
        </w:tc>
        <w:tc>
          <w:tcPr>
            <w:tcW w:w="7500" w:type="dxa"/>
          </w:tcPr>
          <w:p>
            <w:pPr/>
            <w:r>
              <w:rPr/>
              <w:t xml:space="preserve">SC Simplex</w:t>
            </w:r>
          </w:p>
        </w:tc>
      </w:tr>
      <w:tr>
        <w:trPr/>
        <w:tc>
          <w:tcPr>
            <w:tcW w:w="2500" w:type="dxa"/>
            <w:shd w:val="clear" w:fill="D9D9D9"/>
          </w:tcPr>
          <w:p>
            <w:pPr/>
            <w:r>
              <w:rPr/>
              <w:t xml:space="preserve">Orientierung</w:t>
            </w:r>
          </w:p>
        </w:tc>
        <w:tc>
          <w:tcPr>
            <w:tcW w:w="7500" w:type="dxa"/>
          </w:tcPr>
          <w:p>
            <w:pPr/>
            <w:r>
              <w:rPr/>
              <w:t xml:space="preserve">Typ A, Key up/down</w:t>
            </w:r>
          </w:p>
        </w:tc>
      </w:tr>
      <w:tr>
        <w:trPr/>
        <w:tc>
          <w:tcPr>
            <w:tcW w:w="2500" w:type="dxa"/>
            <w:shd w:val="clear" w:fill="D9D9D9"/>
          </w:tcPr>
          <w:p>
            <w:pPr/>
            <w:r>
              <w:rPr/>
              <w:t xml:space="preserve">Farbe</w:t>
            </w:r>
          </w:p>
        </w:tc>
        <w:tc>
          <w:tcPr>
            <w:tcW w:w="7500" w:type="dxa"/>
          </w:tcPr>
          <w:p>
            <w:pPr/>
            <w:r>
              <w:rPr/>
              <w:t xml:space="preserve">Limegreen</w:t>
            </w:r>
          </w:p>
        </w:tc>
      </w:tr>
      <w:tr>
        <w:trPr/>
        <w:tc>
          <w:tcPr>
            <w:tcW w:w="2500" w:type="dxa"/>
            <w:shd w:val="clear" w:fill="D9D9D9"/>
          </w:tcPr>
          <w:p>
            <w:pPr/>
            <w:r>
              <w:rPr/>
              <w:t xml:space="preserve">Material</w:t>
            </w:r>
          </w:p>
        </w:tc>
        <w:tc>
          <w:tcPr>
            <w:tcW w:w="7500" w:type="dxa"/>
          </w:tcPr>
          <w:p>
            <w:pPr/>
            <w:r>
              <w:rPr/>
              <w:t xml:space="preserve">Kunststoff</w:t>
            </w:r>
          </w:p>
        </w:tc>
      </w:tr>
      <w:tr>
        <w:trPr/>
        <w:tc>
          <w:tcPr>
            <w:tcW w:w="2500" w:type="dxa"/>
            <w:shd w:val="clear" w:fill="D9D9D9"/>
          </w:tcPr>
          <w:p>
            <w:pPr/>
            <w:r>
              <w:rPr/>
              <w:t xml:space="preserve">Hülse</w:t>
            </w:r>
          </w:p>
        </w:tc>
        <w:tc>
          <w:tcPr>
            <w:tcW w:w="7500" w:type="dxa"/>
          </w:tcPr>
          <w:p>
            <w:pPr/>
            <w:r>
              <w:rPr/>
              <w:t xml:space="preserve">--</w:t>
            </w:r>
          </w:p>
        </w:tc>
      </w:tr>
      <w:tr>
        <w:trPr/>
        <w:tc>
          <w:tcPr>
            <w:tcW w:w="2500" w:type="dxa"/>
            <w:shd w:val="clear" w:fill="D9D9D9"/>
          </w:tcPr>
          <w:p>
            <w:pPr/>
            <w:r>
              <w:rPr/>
              <w:t xml:space="preserve">Klappe</w:t>
            </w:r>
          </w:p>
        </w:tc>
        <w:tc>
          <w:tcPr>
            <w:tcW w:w="7500" w:type="dxa"/>
          </w:tcPr>
          <w:p>
            <w:pPr/>
            <w:r>
              <w:rPr/>
              <w:t xml:space="preserve">--</w:t>
            </w:r>
          </w:p>
        </w:tc>
      </w:tr>
      <w:tr>
        <w:trPr/>
        <w:tc>
          <w:tcPr>
            <w:tcW w:w="2500" w:type="dxa"/>
            <w:shd w:val="clear" w:fill="D9D9D9"/>
          </w:tcPr>
          <w:p>
            <w:pPr/>
            <w:r>
              <w:rPr/>
              <w:t xml:space="preserve">Standards</w:t>
            </w:r>
          </w:p>
        </w:tc>
        <w:tc>
          <w:tcPr>
            <w:tcW w:w="7500" w:type="dxa"/>
          </w:tcPr>
          <w:p>
            <w:pPr/>
            <w:r>
              <w:rPr/>
              <w:t xml:space="preserve">IEC 61754-7 TIA 604-5</w:t>
            </w:r>
          </w:p>
        </w:tc>
      </w:tr>
      <w:tr>
        <w:trPr/>
        <w:tc>
          <w:tcPr>
            <w:tcW w:w="2500" w:type="dxa"/>
            <w:shd w:val="clear" w:fill="D9D9D9"/>
          </w:tcPr>
          <w:p>
            <w:pPr/>
            <w:r>
              <w:rPr/>
              <w:t xml:space="preserve">Hersteller</w:t>
            </w:r>
          </w:p>
        </w:tc>
        <w:tc>
          <w:tcPr>
            <w:tcW w:w="7500" w:type="dxa"/>
          </w:tcPr>
          <w:p>
            <w:pPr/>
            <w:r>
              <w:rPr/>
              <w:t xml:space="preserve">US Conec</w:t>
            </w:r>
          </w:p>
        </w:tc>
      </w:tr>
    </w:tbl>
    <w:p>
      <w:pPr/>
      <w:r>
        <w:rPr/>
        <w:t xml:space="preserve"/>
      </w:r>
    </w:p>
    <w:p>
      <w:pPr/>
      <w:r>
        <w:rPr/>
        <w:t xml:space="preserve">***LWL Steckverbinder
</w:t>
      </w:r>
    </w:p>
    <w:p>
      <w:pPr/>
      <w:r>
        <w:rPr/>
        <w:t xml:space="preserve">Die Endflächen der Steckverbinder sind mittels Lasercleaving und Maschinenpolitur optimiert. Die MPO/MTP® Stecker besitzen einen definierten Faserüberstand von 1 - 3.5µ. Die Max. Höhendifferenz benachbarter Fasern beträgt 0.2µm und die aller Fasern 0.3µm.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w:t>
            </w:r>
          </w:p>
        </w:tc>
        <w:tc>
          <w:tcPr>
            <w:tcW w:w="7500" w:type="dxa"/>
          </w:tcPr>
          <w:p>
            <w:pPr/>
            <w:r>
              <w:rPr/>
              <w:t xml:space="preserve">MPO/MTP® Female Push Pull Verriegelung</w:t>
            </w:r>
          </w:p>
        </w:tc>
      </w:tr>
      <w:tr>
        <w:trPr/>
        <w:tc>
          <w:tcPr>
            <w:tcW w:w="2500" w:type="dxa"/>
            <w:shd w:val="clear" w:fill="D9D9D9"/>
          </w:tcPr>
          <w:p>
            <w:pPr/>
            <w:r>
              <w:rPr/>
              <w:t xml:space="preserve">Ferrule</w:t>
            </w:r>
          </w:p>
        </w:tc>
        <w:tc>
          <w:tcPr>
            <w:tcW w:w="7500" w:type="dxa"/>
          </w:tcPr>
          <w:p>
            <w:pPr/>
            <w:r>
              <w:rPr/>
              <w:t xml:space="preserve">24 Fiber MM Elite® ferrule, PPS</w:t>
            </w:r>
          </w:p>
        </w:tc>
      </w:tr>
      <w:tr>
        <w:trPr/>
        <w:tc>
          <w:tcPr>
            <w:tcW w:w="2500" w:type="dxa"/>
            <w:shd w:val="clear" w:fill="D9D9D9"/>
          </w:tcPr>
          <w:p>
            <w:pPr/>
            <w:r>
              <w:rPr/>
              <w:t xml:space="preserve">Tüllenfarbe</w:t>
            </w:r>
          </w:p>
        </w:tc>
        <w:tc>
          <w:tcPr>
            <w:tcW w:w="7500" w:type="dxa"/>
          </w:tcPr>
          <w:p>
            <w:pPr/>
            <w:r>
              <w:rPr/>
              <w:t xml:space="preserve">Rot</w:t>
            </w:r>
          </w:p>
        </w:tc>
      </w:tr>
      <w:tr>
        <w:trPr/>
        <w:tc>
          <w:tcPr>
            <w:tcW w:w="2500" w:type="dxa"/>
            <w:shd w:val="clear" w:fill="D9D9D9"/>
          </w:tcPr>
          <w:p>
            <w:pPr/>
            <w:r>
              <w:rPr/>
              <w:t xml:space="preserve">Temperaturbereich</w:t>
            </w:r>
          </w:p>
        </w:tc>
        <w:tc>
          <w:tcPr>
            <w:tcW w:w="7500" w:type="dxa"/>
          </w:tcPr>
          <w:p>
            <w:pPr/>
            <w:r>
              <w:rPr/>
              <w:t xml:space="preserve">-40°C bis +75°C</w:t>
            </w:r>
          </w:p>
        </w:tc>
      </w:tr>
      <w:tr>
        <w:trPr/>
        <w:tc>
          <w:tcPr>
            <w:tcW w:w="2500" w:type="dxa"/>
            <w:shd w:val="clear" w:fill="D9D9D9"/>
          </w:tcPr>
          <w:p>
            <w:pPr/>
            <w:r>
              <w:rPr/>
              <w:t xml:space="preserve">Hersteller</w:t>
            </w:r>
          </w:p>
        </w:tc>
        <w:tc>
          <w:tcPr>
            <w:tcW w:w="7500" w:type="dxa"/>
          </w:tcPr>
          <w:p>
            <w:pPr/>
            <w:r>
              <w:rPr/>
              <w:t xml:space="preserve">tde/US Conec</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OM5</w:t>
            </w:r>
          </w:p>
        </w:tc>
        <w:tc>
          <w:tcPr/>
          <w:p>
            <w:pPr/>
            <w:r>
              <w:rPr/>
              <w:t xml:space="preserve">MPO/MTP®</w:t>
            </w:r>
          </w:p>
        </w:tc>
        <w:tc>
          <w:tcPr/>
          <w:p>
            <w:pPr/>
            <w:r>
              <w:rPr/>
              <w:t xml:space="preserve">850 nm</w:t>
            </w:r>
          </w:p>
        </w:tc>
        <w:tc>
          <w:tcPr/>
          <w:p>
            <w:pPr/>
            <w:r>
              <w:rPr/>
              <w:t xml:space="preserve">≤ 0.11 dB</w:t>
            </w:r>
          </w:p>
        </w:tc>
        <w:tc>
          <w:tcPr/>
          <w:p>
            <w:pPr/>
            <w:r>
              <w:rPr/>
              <w:t xml:space="preserve">0.25 dB</w:t>
            </w:r>
          </w:p>
        </w:tc>
        <w:tc>
          <w:tcPr/>
          <w:p>
            <w:pPr/>
            <w:r>
              <w:rPr/>
              <w:t xml:space="preserve">35 dB</w:t>
            </w:r>
          </w:p>
        </w:tc>
      </w:tr>
    </w:tbl>
    <w:p>
      <w:pPr/>
      <w:r>
        <w:rPr/>
        <w:t xml:space="preserve"/>
      </w:r>
    </w:p>
    <w:p>
      <w:pPr/>
      <w:r>
        <w:rPr/>
        <w:t xml:space="preserve">***LWL Steckverbinder
</w:t>
      </w:r>
    </w:p>
    <w:p>
      <w:pPr/>
      <w:r>
        <w:rPr/>
        <w:t xml:space="preserve">Die Endflächen der Steckverbinder sind mittels Lasercleaving und Maschinenpolitur optimiert. Die MPO/MTP® Stecker besitzen einen definierten Faserüberstand von 1 - 3.5µ. Die Max. Höhendifferenz benachbarter Fasern beträgt 0.2µm und die aller Fasern 0.3µm.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w:t>
            </w:r>
          </w:p>
        </w:tc>
        <w:tc>
          <w:tcPr>
            <w:tcW w:w="7500" w:type="dxa"/>
          </w:tcPr>
          <w:p>
            <w:pPr/>
            <w:r>
              <w:rPr/>
              <w:t xml:space="preserve">MPO/MTP® Male Push Pull Verriegelung mit Elite Pins</w:t>
            </w:r>
          </w:p>
        </w:tc>
      </w:tr>
      <w:tr>
        <w:trPr/>
        <w:tc>
          <w:tcPr>
            <w:tcW w:w="2500" w:type="dxa"/>
            <w:shd w:val="clear" w:fill="D9D9D9"/>
          </w:tcPr>
          <w:p>
            <w:pPr/>
            <w:r>
              <w:rPr/>
              <w:t xml:space="preserve">Ferrule</w:t>
            </w:r>
          </w:p>
        </w:tc>
        <w:tc>
          <w:tcPr>
            <w:tcW w:w="7500" w:type="dxa"/>
          </w:tcPr>
          <w:p>
            <w:pPr/>
            <w:r>
              <w:rPr/>
              <w:t xml:space="preserve">12 Faser MM Elite® Ferrule, PPS</w:t>
            </w:r>
          </w:p>
        </w:tc>
      </w:tr>
      <w:tr>
        <w:trPr/>
        <w:tc>
          <w:tcPr>
            <w:tcW w:w="2500" w:type="dxa"/>
            <w:shd w:val="clear" w:fill="D9D9D9"/>
          </w:tcPr>
          <w:p>
            <w:pPr/>
            <w:r>
              <w:rPr/>
              <w:t xml:space="preserve">Tüllenfarbe</w:t>
            </w:r>
          </w:p>
        </w:tc>
        <w:tc>
          <w:tcPr>
            <w:tcW w:w="7500" w:type="dxa"/>
          </w:tcPr>
          <w:p>
            <w:pPr/>
            <w:r>
              <w:rPr/>
              <w:t xml:space="preserve">Schwarz</w:t>
            </w:r>
          </w:p>
        </w:tc>
      </w:tr>
      <w:tr>
        <w:trPr/>
        <w:tc>
          <w:tcPr>
            <w:tcW w:w="2500" w:type="dxa"/>
            <w:shd w:val="clear" w:fill="D9D9D9"/>
          </w:tcPr>
          <w:p>
            <w:pPr/>
            <w:r>
              <w:rPr/>
              <w:t xml:space="preserve">Hersteller</w:t>
            </w:r>
          </w:p>
        </w:tc>
        <w:tc>
          <w:tcPr>
            <w:tcW w:w="7500" w:type="dxa"/>
          </w:tcPr>
          <w:p>
            <w:pPr/>
            <w:r>
              <w:rPr/>
              <w:t xml:space="preserve">tde/US Conec</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OM5</w:t>
            </w:r>
          </w:p>
        </w:tc>
        <w:tc>
          <w:tcPr/>
          <w:p>
            <w:pPr/>
            <w:r>
              <w:rPr/>
              <w:t xml:space="preserve">MPO/MTP®</w:t>
            </w:r>
          </w:p>
        </w:tc>
        <w:tc>
          <w:tcPr/>
          <w:p>
            <w:pPr/>
            <w:r>
              <w:rPr/>
              <w:t xml:space="preserve">850 nm</w:t>
            </w:r>
          </w:p>
        </w:tc>
        <w:tc>
          <w:tcPr/>
          <w:p>
            <w:pPr/>
            <w:r>
              <w:rPr/>
              <w:t xml:space="preserve">≤ 0.11 dB</w:t>
            </w:r>
          </w:p>
        </w:tc>
        <w:tc>
          <w:tcPr/>
          <w:p>
            <w:pPr/>
            <w:r>
              <w:rPr/>
              <w:t xml:space="preserve">0.25 dB</w:t>
            </w:r>
          </w:p>
        </w:tc>
        <w:tc>
          <w:tcPr/>
          <w:p>
            <w:pPr/>
            <w:r>
              <w:rPr/>
              <w:t xml:space="preserve">35 dB</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TML-M12MPP/04M2-50G5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2025-03-15T06:16:58+00:00</dcterms:created>
  <dcterms:modified xsi:type="dcterms:W3CDTF">2025-03-15T06:16:58+00:00</dcterms:modified>
</cp:coreProperties>
</file>

<file path=docProps/custom.xml><?xml version="1.0" encoding="utf-8"?>
<Properties xmlns="http://schemas.openxmlformats.org/officeDocument/2006/custom-properties" xmlns:vt="http://schemas.openxmlformats.org/officeDocument/2006/docPropsVTypes"/>
</file>