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HD - LWL Breakoutmodul 2x MPO/MTP® m. Pins/8x LC Duplex 50/125µ OM5, SR4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Breakout - LWL Module MPO/MTP®
</w:t>
      </w:r>
    </w:p>
    <w:p>
      <w:pPr/>
      <w:r>
        <w:rPr/>
        <w:t xml:space="preserve">Das tML® HD Breakoutmodul ist für den Einbau im 1HE tML® - Modulträger (für 8 x Module) vorgesehen. Das tML® HD Breakoutmodul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2 x MPO/MTP®Male Kupplung (limegreen) frontseitig</w:t>
            </w:r>
          </w:p>
        </w:tc>
      </w:tr>
      <w:tr>
        <w:trPr/>
        <w:tc>
          <w:tcPr>
            <w:tcW w:w="2500" w:type="dxa"/>
            <w:shd w:val="clear" w:fill="D9D9D9"/>
          </w:tcPr>
          <w:p>
            <w:pPr/>
            <w:r>
              <w:rPr/>
              <w:t xml:space="preserve">Ausgang</w:t>
            </w:r>
          </w:p>
        </w:tc>
        <w:tc>
          <w:tcPr>
            <w:tcW w:w="7500" w:type="dxa"/>
          </w:tcPr>
          <w:p>
            <w:pPr/>
            <w:r>
              <w:rPr/>
              <w:t xml:space="preserve">8 x LC Duplex Kupplungen (limegreen)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Wenn der Steckverbinder in den Adapter eingesetzt wird, öffnen sich die inneren Shutter automatisch. Die Ferrule wird dabei nicht berührt. Sobald der Steckverbinder entfernt wird, schließen sich die inneren Shutter automatisch wieder.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OM5</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Limegreen</w:t>
            </w:r>
          </w:p>
        </w:tc>
      </w:tr>
      <w:tr>
        <w:trPr/>
        <w:tc>
          <w:tcPr>
            <w:tcW w:w="2500" w:type="dxa"/>
            <w:shd w:val="clear" w:fill="D9D9D9"/>
          </w:tcPr>
          <w:p>
            <w:pPr/>
            <w:r>
              <w:rPr/>
              <w:t xml:space="preserve">Gehäuse 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Selbstschließende Shutter Material</w:t>
            </w:r>
          </w:p>
        </w:tc>
        <w:tc>
          <w:tcPr>
            <w:tcW w:w="7500" w:type="dxa"/>
          </w:tcPr>
          <w:p>
            <w:pPr/>
            <w:r>
              <w:rPr/>
              <w:t xml:space="preserve">Metall</w:t>
            </w:r>
          </w:p>
        </w:tc>
      </w:tr>
      <w:tr>
        <w:trPr/>
        <w:tc>
          <w:tcPr>
            <w:tcW w:w="2500" w:type="dxa"/>
            <w:shd w:val="clear" w:fill="D9D9D9"/>
          </w:tcPr>
          <w:p>
            <w:pPr/>
            <w:r>
              <w:rPr/>
              <w:t xml:space="preserve">Selbstschließende Shutter Schutz</w:t>
            </w:r>
          </w:p>
        </w:tc>
        <w:tc>
          <w:tcPr>
            <w:tcW w:w="7500" w:type="dxa"/>
          </w:tcPr>
          <w:p>
            <w:pPr/>
            <w:r>
              <w:rPr/>
              <w:t xml:space="preserve">Staub und Laserlicht</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Limegreen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LC</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IL bei 97% gemessen nach IEC 61300-3-4 unter Laborbedingungen.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OM5</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Limegreen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OM5</w:t>
            </w:r>
          </w:p>
        </w:tc>
        <w:tc>
          <w:tcPr/>
          <w:p>
            <w:pPr/>
            <w:r>
              <w:rPr/>
              <w:t xml:space="preserve">MPO/MTP®</w:t>
            </w:r>
          </w:p>
        </w:tc>
        <w:tc>
          <w:tcPr/>
          <w:p>
            <w:pPr/>
            <w:r>
              <w:rPr/>
              <w:t xml:space="preserve">850 nm</w:t>
            </w:r>
          </w:p>
        </w:tc>
        <w:tc>
          <w:tcPr/>
          <w:p>
            <w:pPr/>
            <w:r>
              <w:rPr/>
              <w:t xml:space="preserve">≤ 0.11 dB</w:t>
            </w:r>
          </w:p>
        </w:tc>
        <w:tc>
          <w:tcPr/>
          <w:p>
            <w:pPr/>
            <w:r>
              <w:rPr/>
              <w:t xml:space="preserve">0.25 dB</w:t>
            </w:r>
          </w:p>
        </w:tc>
        <w:tc>
          <w:tcPr/>
          <w:p>
            <w:pPr/>
            <w:r>
              <w:rPr/>
              <w:t xml:space="preserve">35 dB</w:t>
            </w:r>
          </w:p>
        </w:tc>
      </w:tr>
    </w:tbl>
    <w:p>
      <w:pPr/>
      <w:r>
        <w:rPr/>
        <w:t xml:space="preserve"/>
      </w:r>
    </w:p>
    <w:p>
      <w:pPr/>
      <w:r>
        <w:rPr/>
        <w:t xml:space="preserve">***LWL Faser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Corning ClearCurve® 50/125µ OM5 Multimode Faser (IEC 60793-2-10 type A1a.4b konform)</w:t>
            </w:r>
          </w:p>
        </w:tc>
      </w:tr>
      <w:tr>
        <w:trPr/>
        <w:tc>
          <w:tcPr>
            <w:tcW w:w="2500" w:type="dxa"/>
            <w:shd w:val="clear" w:fill="D9D9D9"/>
          </w:tcPr>
          <w:p>
            <w:pPr/>
            <w:r>
              <w:rPr/>
              <w:t xml:space="preserve">Kerndurchmesser</w:t>
            </w:r>
          </w:p>
        </w:tc>
        <w:tc>
          <w:tcPr>
            <w:tcW w:w="7500" w:type="dxa"/>
          </w:tcPr>
          <w:p>
            <w:pPr/>
            <w:r>
              <w:rPr/>
              <w:t xml:space="preserve">50 μm +/- 2.5 μm</w:t>
            </w:r>
          </w:p>
        </w:tc>
      </w:tr>
      <w:tr>
        <w:trPr/>
        <w:tc>
          <w:tcPr>
            <w:tcW w:w="2500" w:type="dxa"/>
            <w:shd w:val="clear" w:fill="D9D9D9"/>
          </w:tcPr>
          <w:p>
            <w:pPr/>
            <w:r>
              <w:rPr/>
              <w:t xml:space="preserve">Manteldurchmesser</w:t>
            </w:r>
          </w:p>
        </w:tc>
        <w:tc>
          <w:tcPr>
            <w:tcW w:w="7500" w:type="dxa"/>
          </w:tcPr>
          <w:p>
            <w:pPr/>
            <w:r>
              <w:rPr/>
              <w:t xml:space="preserve">125 μm +/- 1 μ</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Kern Unrundheit</w:t>
            </w:r>
          </w:p>
        </w:tc>
        <w:tc>
          <w:tcPr>
            <w:tcW w:w="7500" w:type="dxa"/>
          </w:tcPr>
          <w:p>
            <w:pPr/>
            <w:r>
              <w:rPr/>
              <w:t xml:space="preserve">&lt; 5 %</w:t>
            </w:r>
          </w:p>
        </w:tc>
      </w:tr>
      <w:tr>
        <w:trPr/>
        <w:tc>
          <w:tcPr>
            <w:tcW w:w="2500" w:type="dxa"/>
            <w:shd w:val="clear" w:fill="D9D9D9"/>
          </w:tcPr>
          <w:p>
            <w:pPr/>
            <w:r>
              <w:rPr/>
              <w:t xml:space="preserve">Mantel Unrundheit</w:t>
            </w:r>
          </w:p>
        </w:tc>
        <w:tc>
          <w:tcPr>
            <w:tcW w:w="7500" w:type="dxa"/>
          </w:tcPr>
          <w:p>
            <w:pPr/>
            <w:r>
              <w:rPr/>
              <w:t xml:space="preserve">&lt; 1 %</w:t>
            </w:r>
          </w:p>
        </w:tc>
      </w:tr>
      <w:tr>
        <w:trPr/>
        <w:tc>
          <w:tcPr>
            <w:tcW w:w="2500" w:type="dxa"/>
            <w:shd w:val="clear" w:fill="D9D9D9"/>
          </w:tcPr>
          <w:p>
            <w:pPr/>
            <w:r>
              <w:rPr/>
              <w:t xml:space="preserve">Kern-Mantel Toleranz</w:t>
            </w:r>
          </w:p>
        </w:tc>
        <w:tc>
          <w:tcPr>
            <w:tcW w:w="7500" w:type="dxa"/>
          </w:tcPr>
          <w:p>
            <w:pPr/>
            <w:r>
              <w:rPr/>
              <w:t xml:space="preserve">&lt; 1.5 μm</w:t>
            </w:r>
          </w:p>
        </w:tc>
      </w:tr>
      <w:tr>
        <w:trPr/>
        <w:tc>
          <w:tcPr>
            <w:tcW w:w="2500" w:type="dxa"/>
            <w:shd w:val="clear" w:fill="D9D9D9"/>
          </w:tcPr>
          <w:p>
            <w:pPr/>
            <w:r>
              <w:rPr/>
              <w:t xml:space="preserve">Mantel- Beschichtungstoleranz</w:t>
            </w:r>
          </w:p>
        </w:tc>
        <w:tc>
          <w:tcPr>
            <w:tcW w:w="7500" w:type="dxa"/>
          </w:tcPr>
          <w:p>
            <w:pPr/>
            <w:r>
              <w:rPr/>
              <w:t xml:space="preserve">&lt; 12 μm</w:t>
            </w:r>
          </w:p>
        </w:tc>
      </w:tr>
      <w:tr>
        <w:trPr/>
        <w:tc>
          <w:tcPr>
            <w:tcW w:w="2500" w:type="dxa"/>
            <w:shd w:val="clear" w:fill="D9D9D9"/>
          </w:tcPr>
          <w:p>
            <w:pPr/>
            <w:r>
              <w:rPr/>
              <w:t xml:space="preserve">Screen Test</w:t>
            </w:r>
          </w:p>
        </w:tc>
        <w:tc>
          <w:tcPr>
            <w:tcW w:w="7500" w:type="dxa"/>
          </w:tcPr>
          <w:p>
            <w:pPr/>
            <w:r>
              <w:rPr/>
              <w:t xml:space="preserve">≥ 0.7 GPa (100 kpsi)</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Dämpfung, max. 850 nm (Faser im Kabel)</w:t>
            </w:r>
          </w:p>
        </w:tc>
        <w:tc>
          <w:tcPr>
            <w:tcW w:w="7500" w:type="dxa"/>
          </w:tcPr>
          <w:p>
            <w:pPr/>
            <w:r>
              <w:rPr/>
              <w:t xml:space="preserve">2.5 dB/km</w:t>
            </w:r>
          </w:p>
        </w:tc>
      </w:tr>
      <w:tr>
        <w:trPr/>
        <w:tc>
          <w:tcPr>
            <w:tcW w:w="2500" w:type="dxa"/>
            <w:shd w:val="clear" w:fill="D9D9D9"/>
          </w:tcPr>
          <w:p>
            <w:pPr/>
            <w:r>
              <w:rPr/>
              <w:t xml:space="preserve">Dämpfung, max. 953 nm (Faser im Kabel)</w:t>
            </w:r>
          </w:p>
        </w:tc>
        <w:tc>
          <w:tcPr>
            <w:tcW w:w="7500" w:type="dxa"/>
          </w:tcPr>
          <w:p>
            <w:pPr/>
            <w:r>
              <w:rPr/>
              <w:t xml:space="preserve">1.8 dB/km</w:t>
            </w:r>
          </w:p>
        </w:tc>
      </w:tr>
      <w:tr>
        <w:trPr/>
        <w:tc>
          <w:tcPr>
            <w:tcW w:w="2500" w:type="dxa"/>
            <w:shd w:val="clear" w:fill="D9D9D9"/>
          </w:tcPr>
          <w:p>
            <w:pPr/>
            <w:r>
              <w:rPr/>
              <w:t xml:space="preserve">Dämpfung, max. 1300 nm (Faser im Kabel)</w:t>
            </w:r>
          </w:p>
        </w:tc>
        <w:tc>
          <w:tcPr>
            <w:tcW w:w="7500" w:type="dxa"/>
          </w:tcPr>
          <w:p>
            <w:pPr/>
            <w:r>
              <w:rPr/>
              <w:t xml:space="preserve">0.7 dB/km</w:t>
            </w:r>
          </w:p>
        </w:tc>
      </w:tr>
      <w:tr>
        <w:trPr/>
        <w:tc>
          <w:tcPr>
            <w:tcW w:w="2500" w:type="dxa"/>
            <w:shd w:val="clear" w:fill="D9D9D9"/>
          </w:tcPr>
          <w:p>
            <w:pPr/>
            <w:r>
              <w:rPr/>
              <w:t xml:space="preserve">Dämpfung, max. 850 nm (Faser)</w:t>
            </w:r>
          </w:p>
        </w:tc>
        <w:tc>
          <w:tcPr>
            <w:tcW w:w="7500" w:type="dxa"/>
          </w:tcPr>
          <w:p>
            <w:pPr/>
            <w:r>
              <w:rPr/>
              <w:t xml:space="preserve">2.34 dB/km</w:t>
            </w:r>
          </w:p>
        </w:tc>
      </w:tr>
      <w:tr>
        <w:trPr/>
        <w:tc>
          <w:tcPr>
            <w:tcW w:w="2500" w:type="dxa"/>
            <w:shd w:val="clear" w:fill="D9D9D9"/>
          </w:tcPr>
          <w:p>
            <w:pPr/>
            <w:r>
              <w:rPr/>
              <w:t xml:space="preserve">Dämpfung, max. 953 nm (Faser)</w:t>
            </w:r>
          </w:p>
        </w:tc>
        <w:tc>
          <w:tcPr>
            <w:tcW w:w="7500" w:type="dxa"/>
          </w:tcPr>
          <w:p>
            <w:pPr/>
            <w:r>
              <w:rPr/>
              <w:t xml:space="preserve">1.7 dB/km</w:t>
            </w:r>
          </w:p>
        </w:tc>
      </w:tr>
      <w:tr>
        <w:trPr/>
        <w:tc>
          <w:tcPr>
            <w:tcW w:w="2500" w:type="dxa"/>
            <w:shd w:val="clear" w:fill="D9D9D9"/>
          </w:tcPr>
          <w:p>
            <w:pPr/>
            <w:r>
              <w:rPr/>
              <w:t xml:space="preserve">Dämpfung, max. 1300 nm (Faser)</w:t>
            </w:r>
          </w:p>
        </w:tc>
        <w:tc>
          <w:tcPr>
            <w:tcW w:w="7500" w:type="dxa"/>
          </w:tcPr>
          <w:p>
            <w:pPr/>
            <w:r>
              <w:rPr/>
              <w:t xml:space="preserve">0.64 dB/km</w:t>
            </w:r>
          </w:p>
        </w:tc>
      </w:tr>
      <w:tr>
        <w:trPr/>
        <w:tc>
          <w:tcPr>
            <w:tcW w:w="2500" w:type="dxa"/>
            <w:shd w:val="clear" w:fill="D9D9D9"/>
          </w:tcPr>
          <w:p>
            <w:pPr/>
            <w:r>
              <w:rPr/>
              <w:t xml:space="preserve">Makrobending, induzierte Dämpfung 100 Umdrehungen, 37.5 mm</w:t>
            </w:r>
          </w:p>
        </w:tc>
        <w:tc>
          <w:tcPr>
            <w:tcW w:w="7500" w:type="dxa"/>
          </w:tcPr>
          <w:p>
            <w:pPr/>
            <w:r>
              <w:rPr/>
              <w:t xml:space="preserve">≤ 0.5 dB (bei 850 nm)</w:t>
            </w:r>
          </w:p>
        </w:tc>
      </w:tr>
      <w:tr>
        <w:trPr/>
        <w:tc>
          <w:tcPr>
            <w:tcW w:w="2500" w:type="dxa"/>
            <w:shd w:val="clear" w:fill="D9D9D9"/>
          </w:tcPr>
          <w:p>
            <w:pPr/>
            <w:r>
              <w:rPr/>
              <w:t xml:space="preserve">Makrobending, induzierte Dämpfung 100 Umdrehungen, 37.5 mm</w:t>
            </w:r>
          </w:p>
        </w:tc>
        <w:tc>
          <w:tcPr>
            <w:tcW w:w="7500" w:type="dxa"/>
          </w:tcPr>
          <w:p>
            <w:pPr/>
            <w:r>
              <w:rPr/>
              <w:t xml:space="preserve">≤ 0.5 dB (bei  1300 nm)</w:t>
            </w:r>
          </w:p>
        </w:tc>
      </w:tr>
      <w:tr>
        <w:trPr/>
        <w:tc>
          <w:tcPr>
            <w:tcW w:w="2500" w:type="dxa"/>
            <w:shd w:val="clear" w:fill="D9D9D9"/>
          </w:tcPr>
          <w:p>
            <w:pPr/>
            <w:r>
              <w:rPr/>
              <w:t xml:space="preserve">Makrobending, induzierte Dämpfung 2 Umdrehungen, 15 mm</w:t>
            </w:r>
          </w:p>
        </w:tc>
        <w:tc>
          <w:tcPr>
            <w:tcW w:w="7500" w:type="dxa"/>
          </w:tcPr>
          <w:p>
            <w:pPr/>
            <w:r>
              <w:rPr/>
              <w:t xml:space="preserve">≤ 0.1 dB (bei 850 nm)</w:t>
            </w:r>
          </w:p>
        </w:tc>
      </w:tr>
      <w:tr>
        <w:trPr/>
        <w:tc>
          <w:tcPr>
            <w:tcW w:w="2500" w:type="dxa"/>
            <w:shd w:val="clear" w:fill="D9D9D9"/>
          </w:tcPr>
          <w:p>
            <w:pPr/>
            <w:r>
              <w:rPr/>
              <w:t xml:space="preserve">Makrobending, induzierte Dämpfung 2 Umdrehungen, 15 mm</w:t>
            </w:r>
          </w:p>
        </w:tc>
        <w:tc>
          <w:tcPr>
            <w:tcW w:w="7500" w:type="dxa"/>
          </w:tcPr>
          <w:p>
            <w:pPr/>
            <w:r>
              <w:rPr/>
              <w:t xml:space="preserve">≤ 0.3 dB (bei 1300 nm)</w:t>
            </w:r>
          </w:p>
        </w:tc>
      </w:tr>
      <w:tr>
        <w:trPr/>
        <w:tc>
          <w:tcPr>
            <w:tcW w:w="2500" w:type="dxa"/>
            <w:shd w:val="clear" w:fill="D9D9D9"/>
          </w:tcPr>
          <w:p>
            <w:pPr/>
            <w:r>
              <w:rPr/>
              <w:t xml:space="preserve">Makrobending, induzierte Dämpfung 2 Umdrehungen, 7.5 mm</w:t>
            </w:r>
          </w:p>
        </w:tc>
        <w:tc>
          <w:tcPr>
            <w:tcW w:w="7500" w:type="dxa"/>
          </w:tcPr>
          <w:p>
            <w:pPr/>
            <w:r>
              <w:rPr/>
              <w:t xml:space="preserve">≤ 0.3 dB (bei 850 nm)</w:t>
            </w:r>
          </w:p>
        </w:tc>
      </w:tr>
      <w:tr>
        <w:trPr/>
        <w:tc>
          <w:tcPr>
            <w:tcW w:w="2500" w:type="dxa"/>
            <w:shd w:val="clear" w:fill="D9D9D9"/>
          </w:tcPr>
          <w:p>
            <w:pPr/>
            <w:r>
              <w:rPr/>
              <w:t xml:space="preserve">Makrobending, induzierte Dämpfung 2 Umdrehungen, 7.5 mm</w:t>
            </w:r>
          </w:p>
        </w:tc>
        <w:tc>
          <w:tcPr>
            <w:tcW w:w="7500" w:type="dxa"/>
          </w:tcPr>
          <w:p>
            <w:pPr/>
            <w:r>
              <w:rPr/>
              <w:t xml:space="preserve">≤ 0.5 dB (bei 1300 nm)</w:t>
            </w:r>
          </w:p>
        </w:tc>
      </w:tr>
      <w:tr>
        <w:trPr/>
        <w:tc>
          <w:tcPr>
            <w:tcW w:w="2500" w:type="dxa"/>
            <w:shd w:val="clear" w:fill="D9D9D9"/>
          </w:tcPr>
          <w:p>
            <w:pPr/>
            <w:r>
              <w:rPr/>
              <w:t xml:space="preserve">Bandbreite (OFL), min. 850 nm</w:t>
            </w:r>
          </w:p>
        </w:tc>
        <w:tc>
          <w:tcPr>
            <w:tcW w:w="7500" w:type="dxa"/>
          </w:tcPr>
          <w:p>
            <w:pPr/>
            <w:r>
              <w:rPr/>
              <w:t xml:space="preserve">3500 MHz x km</w:t>
            </w:r>
          </w:p>
        </w:tc>
      </w:tr>
      <w:tr>
        <w:trPr/>
        <w:tc>
          <w:tcPr>
            <w:tcW w:w="2500" w:type="dxa"/>
            <w:shd w:val="clear" w:fill="D9D9D9"/>
          </w:tcPr>
          <w:p>
            <w:pPr/>
            <w:r>
              <w:rPr/>
              <w:t xml:space="preserve">Bandbreite (OFL), min. 953 nm</w:t>
            </w:r>
          </w:p>
        </w:tc>
        <w:tc>
          <w:tcPr>
            <w:tcW w:w="7500" w:type="dxa"/>
          </w:tcPr>
          <w:p>
            <w:pPr/>
            <w:r>
              <w:rPr/>
              <w:t xml:space="preserve">1850 MHz x km</w:t>
            </w:r>
          </w:p>
        </w:tc>
      </w:tr>
      <w:tr>
        <w:trPr/>
        <w:tc>
          <w:tcPr>
            <w:tcW w:w="2500" w:type="dxa"/>
            <w:shd w:val="clear" w:fill="D9D9D9"/>
          </w:tcPr>
          <w:p>
            <w:pPr/>
            <w:r>
              <w:rPr/>
              <w:t xml:space="preserve">Bandbreite (OFL), min. 1300 nm</w:t>
            </w:r>
          </w:p>
        </w:tc>
        <w:tc>
          <w:tcPr>
            <w:tcW w:w="7500" w:type="dxa"/>
          </w:tcPr>
          <w:p>
            <w:pPr/>
            <w:r>
              <w:rPr/>
              <w:t xml:space="preserve">500 MHz x km</w:t>
            </w:r>
          </w:p>
        </w:tc>
      </w:tr>
      <w:tr>
        <w:trPr/>
        <w:tc>
          <w:tcPr>
            <w:tcW w:w="2500" w:type="dxa"/>
            <w:shd w:val="clear" w:fill="D9D9D9"/>
          </w:tcPr>
          <w:p>
            <w:pPr/>
            <w:r>
              <w:rPr/>
              <w:t xml:space="preserve">Effective modal Bandwidth-length product min. 850 nm</w:t>
            </w:r>
          </w:p>
        </w:tc>
        <w:tc>
          <w:tcPr>
            <w:tcW w:w="7500" w:type="dxa"/>
          </w:tcPr>
          <w:p>
            <w:pPr/>
            <w:r>
              <w:rPr/>
              <w:t xml:space="preserve">4700 MHz x km</w:t>
            </w:r>
          </w:p>
        </w:tc>
      </w:tr>
      <w:tr>
        <w:trPr/>
        <w:tc>
          <w:tcPr>
            <w:tcW w:w="2500" w:type="dxa"/>
            <w:shd w:val="clear" w:fill="D9D9D9"/>
          </w:tcPr>
          <w:p>
            <w:pPr/>
            <w:r>
              <w:rPr/>
              <w:t xml:space="preserve">Effective modal Bandwidth-length product min. 953 nm</w:t>
            </w:r>
          </w:p>
        </w:tc>
        <w:tc>
          <w:tcPr>
            <w:tcW w:w="7500" w:type="dxa"/>
          </w:tcPr>
          <w:p>
            <w:pPr/>
            <w:r>
              <w:rPr/>
              <w:t xml:space="preserve">2470 MHz x km</w:t>
            </w:r>
          </w:p>
        </w:tc>
      </w:tr>
      <w:tr>
        <w:trPr/>
        <w:tc>
          <w:tcPr>
            <w:tcW w:w="2500" w:type="dxa"/>
            <w:shd w:val="clear" w:fill="D9D9D9"/>
          </w:tcPr>
          <w:p>
            <w:pPr/>
            <w:r>
              <w:rPr/>
              <w:t xml:space="preserve">Numerische Apertur</w:t>
            </w:r>
          </w:p>
        </w:tc>
        <w:tc>
          <w:tcPr>
            <w:tcW w:w="7500" w:type="dxa"/>
          </w:tcPr>
          <w:p>
            <w:pPr/>
            <w:r>
              <w:rPr/>
              <w:t xml:space="preserve">0.200 +/- 0.015</w:t>
            </w:r>
          </w:p>
        </w:tc>
      </w:tr>
      <w:tr>
        <w:trPr/>
        <w:tc>
          <w:tcPr>
            <w:tcW w:w="2500" w:type="dxa"/>
            <w:shd w:val="clear" w:fill="D9D9D9"/>
          </w:tcPr>
          <w:p>
            <w:pPr/>
            <w:r>
              <w:rPr/>
              <w:t xml:space="preserve">Effektiver Gruppen-Brechungsindex 850 nm</w:t>
            </w:r>
          </w:p>
        </w:tc>
        <w:tc>
          <w:tcPr>
            <w:tcW w:w="7500" w:type="dxa"/>
          </w:tcPr>
          <w:p>
            <w:pPr/>
            <w:r>
              <w:rPr/>
              <w:t xml:space="preserve">1.482</w:t>
            </w:r>
          </w:p>
        </w:tc>
      </w:tr>
      <w:tr>
        <w:trPr/>
        <w:tc>
          <w:tcPr>
            <w:tcW w:w="2500" w:type="dxa"/>
            <w:shd w:val="clear" w:fill="D9D9D9"/>
          </w:tcPr>
          <w:p>
            <w:pPr/>
            <w:r>
              <w:rPr/>
              <w:t xml:space="preserve">Effektiver Gruppen-Brechungsindex 1300 nm</w:t>
            </w:r>
          </w:p>
        </w:tc>
        <w:tc>
          <w:tcPr>
            <w:tcW w:w="7500" w:type="dxa"/>
          </w:tcPr>
          <w:p>
            <w:pPr/>
            <w:r>
              <w:rPr/>
              <w:t xml:space="preserve">1.477</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TML-M08LCDS/MPP50G5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2025-03-15T06:23:54+00:00</dcterms:created>
  <dcterms:modified xsi:type="dcterms:W3CDTF">2025-03-15T06:23:54+00:00</dcterms:modified>
</cp:coreProperties>
</file>

<file path=docProps/custom.xml><?xml version="1.0" encoding="utf-8"?>
<Properties xmlns="http://schemas.openxmlformats.org/officeDocument/2006/custom-properties" xmlns:vt="http://schemas.openxmlformats.org/officeDocument/2006/docPropsVTypes"/>
</file>