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Patchkabel beids. 1x MPO/MTP® Female 12G50/125µ OM5 LSOH, Typ B, Länge: xxx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 LWL Patchkabel MPO/MTP® SR4
</w:t>
      </w:r>
    </w:p>
    <w:p>
      <w:pPr/>
      <w:r>
        <w:rPr/>
        <w:t xml:space="preserve">**TECHNISCHE_DATEN
</w:t>
      </w:r>
    </w:p>
    <w:p>
      <w:pPr/>
      <w:r>
        <w:rPr/>
        <w:t xml:space="preserve">Das tML®– LWL Patchkabel ist beidseitig mit MPO/MTP®Steckverbindern konfektioniert. Das Kabel ist sehr schlank und flexibel. 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Jedes Kabel ist beschriftet mit fortlaufender Seriennummer und Artikelnummer.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Rundkabel 3 mm Durchmesser, Bündeladerkonstruktion, FRNC, limegreen</w:t>
            </w:r>
          </w:p>
        </w:tc>
      </w:tr>
      <w:tr>
        <w:trPr/>
        <w:tc>
          <w:tcPr>
            <w:tcW w:w="2500" w:type="dxa"/>
            <w:shd w:val="clear" w:fill="D9D9D9"/>
          </w:tcPr>
          <w:p>
            <w:pPr/>
            <w:r>
              <w:rPr/>
              <w:t xml:space="preserve">Option</w:t>
            </w:r>
          </w:p>
        </w:tc>
        <w:tc>
          <w:tcPr>
            <w:tcW w:w="7500" w:type="dxa"/>
          </w:tcPr>
          <w:p>
            <w:pPr/>
            <w:r>
              <w:rPr/>
              <w:t xml:space="preserve">biegeunempfindliche ClearCurve® Faser von Corning</w:t>
            </w:r>
          </w:p>
        </w:tc>
      </w:tr>
      <w:tr>
        <w:trPr/>
        <w:tc>
          <w:tcPr>
            <w:tcW w:w="2500" w:type="dxa"/>
            <w:shd w:val="clear" w:fill="D9D9D9"/>
          </w:tcPr>
          <w:p>
            <w:pPr/>
            <w:r>
              <w:rPr/>
              <w:t xml:space="preserve">Stecker</w:t>
            </w:r>
          </w:p>
        </w:tc>
        <w:tc>
          <w:tcPr>
            <w:tcW w:w="7500" w:type="dxa"/>
          </w:tcPr>
          <w:p>
            <w:pPr/>
            <w:r>
              <w:rPr/>
              <w:t xml:space="preserve">MPO/MTP®Female Push Pull Verriegelung (limegreen)</w:t>
            </w:r>
          </w:p>
        </w:tc>
      </w:tr>
      <w:tr>
        <w:trPr/>
        <w:tc>
          <w:tcPr>
            <w:tcW w:w="2500" w:type="dxa"/>
            <w:shd w:val="clear" w:fill="D9D9D9"/>
          </w:tcPr>
          <w:p>
            <w:pPr/>
            <w:r>
              <w:rPr/>
              <w:t xml:space="preserve">Belegung</w:t>
            </w:r>
          </w:p>
        </w:tc>
        <w:tc>
          <w:tcPr>
            <w:tcW w:w="7500" w:type="dxa"/>
          </w:tcPr>
          <w:p>
            <w:pPr/>
            <w:r>
              <w:rPr/>
              <w:t xml:space="preserve">Typ B</w:t>
            </w:r>
          </w:p>
        </w:tc>
      </w:tr>
      <w:tr>
        <w:trPr/>
        <w:tc>
          <w:tcPr>
            <w:tcW w:w="2500" w:type="dxa"/>
            <w:shd w:val="clear" w:fill="D9D9D9"/>
          </w:tcPr>
          <w:p>
            <w:pPr/>
            <w:r>
              <w:rPr/>
              <w:t xml:space="preserve">Tests</w:t>
            </w:r>
          </w:p>
        </w:tc>
        <w:tc>
          <w:tcPr>
            <w:tcW w:w="7500" w:type="dxa"/>
          </w:tcPr>
          <w:p>
            <w:pPr/>
            <w:r>
              <w:rPr/>
              <w:t xml:space="preserve">Interferometermessung, Einfüge- und Rückflussdämpfungsmessung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 - steht für die Länge in Meter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OM5</w:t>
            </w:r>
          </w:p>
        </w:tc>
        <w:tc>
          <w:tcPr/>
          <w:p>
            <w:pPr/>
            <w:r>
              <w:rPr/>
              <w:t xml:space="preserve">MPO/MTP®</w:t>
            </w:r>
          </w:p>
        </w:tc>
        <w:tc>
          <w:tcPr/>
          <w:p>
            <w:pPr/>
            <w:r>
              <w:rPr/>
              <w:t xml:space="preserve">850 nm</w:t>
            </w:r>
          </w:p>
        </w:tc>
        <w:tc>
          <w:tcPr/>
          <w:p>
            <w:pPr/>
            <w:r>
              <w:rPr/>
              <w:t xml:space="preserve">≤ 0.11 dB</w:t>
            </w:r>
          </w:p>
        </w:tc>
        <w:tc>
          <w:tcPr/>
          <w:p>
            <w:pPr/>
            <w:r>
              <w:rPr/>
              <w:t xml:space="preserve">0.25 dB</w:t>
            </w:r>
          </w:p>
        </w:tc>
        <w:tc>
          <w:tcPr/>
          <w:p>
            <w:pPr/>
            <w:r>
              <w:rPr/>
              <w:t xml:space="preserve">35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Bündelader</w:t>
            </w:r>
          </w:p>
        </w:tc>
        <w:tc>
          <w:tcPr>
            <w:tcW w:w="7500" w:type="dxa"/>
          </w:tcPr>
          <w:p>
            <w:pPr/>
            <w:r>
              <w:rPr/>
              <w:t xml:space="preserve">ungefüllt (FRNC)</w:t>
            </w:r>
          </w:p>
        </w:tc>
      </w:tr>
      <w:tr>
        <w:trPr/>
        <w:tc>
          <w:tcPr>
            <w:tcW w:w="2500" w:type="dxa"/>
            <w:shd w:val="clear" w:fill="D9D9D9"/>
          </w:tcPr>
          <w:p>
            <w:pPr/>
            <w:r>
              <w:rPr/>
              <w:t xml:space="preserve">Wandstärke PVC-Röhrchen</w:t>
            </w:r>
          </w:p>
        </w:tc>
        <w:tc>
          <w:tcPr>
            <w:tcW w:w="7500" w:type="dxa"/>
          </w:tcPr>
          <w:p>
            <w:pPr/>
            <w:r>
              <w:rPr/>
              <w:t xml:space="preserve">0.20 mm – 0.25 mm </w:t>
            </w:r>
          </w:p>
        </w:tc>
      </w:tr>
      <w:tr>
        <w:trPr/>
        <w:tc>
          <w:tcPr>
            <w:tcW w:w="2500" w:type="dxa"/>
            <w:shd w:val="clear" w:fill="D9D9D9"/>
          </w:tcPr>
          <w:p>
            <w:pPr/>
            <w:r>
              <w:rPr/>
              <w:t xml:space="preserve">Außendurchmesser </w:t>
            </w:r>
          </w:p>
        </w:tc>
        <w:tc>
          <w:tcPr>
            <w:tcW w:w="7500" w:type="dxa"/>
          </w:tcPr>
          <w:p>
            <w:pPr/>
            <w:r>
              <w:rPr/>
              <w:t xml:space="preserve">1.8 mm mit 12 LWL-Fasern</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Farbcode Fasern (1-12)</w:t>
            </w:r>
          </w:p>
        </w:tc>
        <w:tc>
          <w:tcPr>
            <w:tcW w:w="7500" w:type="dxa"/>
          </w:tcPr>
          <w:p>
            <w:pPr/>
            <w:r>
              <w:rPr/>
              <w:t xml:space="preserve">rot, grün, blau, gelb, weiß, grau, braun, violett, türkis, schwarz, orange, rosa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Zugentlastungselemente</w:t>
            </w:r>
          </w:p>
        </w:tc>
        <w:tc>
          <w:tcPr>
            <w:tcW w:w="7500" w:type="dxa"/>
          </w:tcPr>
          <w:p>
            <w:pPr/>
            <w:r>
              <w:rPr/>
              <w:t xml:space="preserve">Aramid</w:t>
            </w:r>
          </w:p>
        </w:tc>
      </w:tr>
      <w:tr>
        <w:trPr/>
        <w:tc>
          <w:tcPr>
            <w:tcW w:w="2500" w:type="dxa"/>
            <w:shd w:val="clear" w:fill="D9D9D9"/>
          </w:tcPr>
          <w:p>
            <w:pPr/>
            <w:r>
              <w:rPr/>
              <w:t xml:space="preserve">Stützelemente</w:t>
            </w:r>
          </w:p>
        </w:tc>
        <w:tc>
          <w:tcPr>
            <w:tcW w:w="7500" w:type="dxa"/>
          </w:tcPr>
          <w:p>
            <w:pPr/>
            <w:r>
              <w:rPr/>
              <w:t xml:space="preserve">Glasfaserverstärkter Kunststoff (GFK)</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Außenmantel</w:t>
            </w:r>
          </w:p>
        </w:tc>
        <w:tc>
          <w:tcPr>
            <w:tcW w:w="7500" w:type="dxa"/>
          </w:tcPr>
          <w:p>
            <w:pPr/>
            <w:r>
              <w:rPr/>
              <w:t xml:space="preserve">Halogenfreies und flammwidriges Material (FRNC)</w:t>
            </w:r>
          </w:p>
        </w:tc>
      </w:tr>
      <w:tr>
        <w:trPr/>
        <w:tc>
          <w:tcPr>
            <w:tcW w:w="2500" w:type="dxa"/>
            <w:shd w:val="clear" w:fill="D9D9D9"/>
          </w:tcPr>
          <w:p>
            <w:pPr/>
            <w:r>
              <w:rPr/>
              <w:t xml:space="preserve">Nennwandstärke</w:t>
            </w:r>
          </w:p>
        </w:tc>
        <w:tc>
          <w:tcPr>
            <w:tcW w:w="7500" w:type="dxa"/>
          </w:tcPr>
          <w:p>
            <w:pPr/>
            <w:r>
              <w:rPr/>
              <w:t xml:space="preserve">ca. 0.4 mm</w:t>
            </w:r>
          </w:p>
        </w:tc>
      </w:tr>
      <w:tr>
        <w:trPr/>
        <w:tc>
          <w:tcPr>
            <w:tcW w:w="2500" w:type="dxa"/>
            <w:shd w:val="clear" w:fill="D9D9D9"/>
          </w:tcPr>
          <w:p>
            <w:pPr/>
            <w:r>
              <w:rPr/>
              <w:t xml:space="preserve">Außendurchmesser</w:t>
            </w:r>
          </w:p>
        </w:tc>
        <w:tc>
          <w:tcPr>
            <w:tcW w:w="7500" w:type="dxa"/>
          </w:tcPr>
          <w:p>
            <w:pPr/>
            <w:r>
              <w:rPr/>
              <w:t xml:space="preserve">ca. 3.0 mm</w:t>
            </w:r>
          </w:p>
        </w:tc>
      </w:tr>
      <w:tr>
        <w:trPr/>
        <w:tc>
          <w:tcPr>
            <w:tcW w:w="2500" w:type="dxa"/>
            <w:shd w:val="clear" w:fill="D9D9D9"/>
          </w:tcPr>
          <w:p>
            <w:pPr/>
            <w:r>
              <w:rPr/>
              <w:t xml:space="preserve">Farbe</w:t>
            </w:r>
          </w:p>
        </w:tc>
        <w:tc>
          <w:tcPr>
            <w:tcW w:w="7500" w:type="dxa"/>
          </w:tcPr>
          <w:p>
            <w:pPr/>
            <w:r>
              <w:rPr/>
              <w:t xml:space="preserve">lime green</w:t>
            </w:r>
          </w:p>
        </w:tc>
      </w:tr>
      <w:tr>
        <w:trPr/>
        <w:tc>
          <w:tcPr>
            <w:tcW w:w="2500" w:type="dxa"/>
            <w:shd w:val="clear" w:fill="D9D9D9"/>
          </w:tcPr>
          <w:p>
            <w:pPr/>
            <w:r>
              <w:rPr/>
              <w:t xml:space="preserve">Inkjet - Aufdruck (schwarz)</w:t>
            </w:r>
          </w:p>
        </w:tc>
        <w:tc>
          <w:tcPr>
            <w:tcW w:w="7500" w:type="dxa"/>
          </w:tcPr>
          <w:p>
            <w:pPr/>
            <w:r>
              <w:rPr/>
              <w:t xml:space="preserve">t d e – IVH12G50–MPO-OM5 LSZH (F.RoHS)</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 Biegeradius fest verlegt (statisch) nach IEC 60794-1-2 E11A</w:t>
            </w:r>
          </w:p>
        </w:tc>
        <w:tc>
          <w:tcPr>
            <w:tcW w:w="7500" w:type="dxa"/>
          </w:tcPr>
          <w:p>
            <w:pPr/>
            <w:r>
              <w:rPr/>
              <w:t xml:space="preserve">10 x Außendurchmesser</w:t>
            </w:r>
          </w:p>
        </w:tc>
      </w:tr>
      <w:tr>
        <w:trPr/>
        <w:tc>
          <w:tcPr>
            <w:tcW w:w="2500" w:type="dxa"/>
            <w:shd w:val="clear" w:fill="D9D9D9"/>
          </w:tcPr>
          <w:p>
            <w:pPr/>
            <w:r>
              <w:rPr/>
              <w:t xml:space="preserve">Min. Biegeradius bei Montage (dynamisch) mit zusätzlicher Zugbelastung nach IEC 60794-1-2 E6</w:t>
            </w:r>
          </w:p>
        </w:tc>
        <w:tc>
          <w:tcPr>
            <w:tcW w:w="7500" w:type="dxa"/>
          </w:tcPr>
          <w:p>
            <w:pPr/>
            <w:r>
              <w:rPr/>
              <w:t xml:space="preserve">15 x Außendurchmesser</w:t>
            </w:r>
          </w:p>
        </w:tc>
      </w:tr>
      <w:tr>
        <w:trPr/>
        <w:tc>
          <w:tcPr>
            <w:tcW w:w="2500" w:type="dxa"/>
            <w:shd w:val="clear" w:fill="D9D9D9"/>
          </w:tcPr>
          <w:p>
            <w:pPr/>
            <w:r>
              <w:rPr/>
              <w:t xml:space="preserve">Max. Zugkraft nach IEC 60794-1-2 E1, kurzzeitig</w:t>
            </w:r>
          </w:p>
        </w:tc>
        <w:tc>
          <w:tcPr>
            <w:tcW w:w="7500" w:type="dxa"/>
          </w:tcPr>
          <w:p>
            <w:pPr/>
            <w:r>
              <w:rPr/>
              <w:t xml:space="preserve">300 N</w:t>
            </w:r>
          </w:p>
        </w:tc>
      </w:tr>
      <w:tr>
        <w:trPr/>
        <w:tc>
          <w:tcPr>
            <w:tcW w:w="2500" w:type="dxa"/>
            <w:shd w:val="clear" w:fill="D9D9D9"/>
          </w:tcPr>
          <w:p>
            <w:pPr/>
            <w:r>
              <w:rPr/>
              <w:t xml:space="preserve">Max. Querdruckfestigkeit nach IEC 60794-1-2 E3, langzeitig</w:t>
            </w:r>
          </w:p>
        </w:tc>
        <w:tc>
          <w:tcPr>
            <w:tcW w:w="7500" w:type="dxa"/>
          </w:tcPr>
          <w:p>
            <w:pPr/>
            <w:r>
              <w:rPr/>
              <w:t xml:space="preserve">150 N/dm</w:t>
            </w:r>
          </w:p>
        </w:tc>
      </w:tr>
      <w:tr>
        <w:trPr/>
        <w:tc>
          <w:tcPr>
            <w:tcW w:w="2500" w:type="dxa"/>
            <w:shd w:val="clear" w:fill="D9D9D9"/>
          </w:tcPr>
          <w:p>
            <w:pPr/>
            <w:r>
              <w:rPr/>
              <w:t xml:space="preserve">Max. Querdruckfestigkeit nach IEC 60794-1-2 E3, kurzzeitig</w:t>
            </w:r>
          </w:p>
        </w:tc>
        <w:tc>
          <w:tcPr>
            <w:tcW w:w="7500" w:type="dxa"/>
          </w:tcPr>
          <w:p>
            <w:pPr/>
            <w:r>
              <w:rPr/>
              <w:t xml:space="preserve">1500 N/dm</w:t>
            </w:r>
          </w:p>
        </w:tc>
      </w:tr>
      <w:tr>
        <w:trPr/>
        <w:tc>
          <w:tcPr>
            <w:tcW w:w="2500" w:type="dxa"/>
            <w:shd w:val="clear" w:fill="D9D9D9"/>
          </w:tcPr>
          <w:p>
            <w:pPr/>
            <w:r>
              <w:rPr/>
              <w:t xml:space="preserve">Schlagfestigkeit nach IEC 60794-1-2 E4</w:t>
            </w:r>
          </w:p>
        </w:tc>
        <w:tc>
          <w:tcPr>
            <w:tcW w:w="7500" w:type="dxa"/>
          </w:tcPr>
          <w:p>
            <w:pPr/>
            <w:r>
              <w:rPr/>
              <w:t xml:space="preserve">3 Schläge, 1.5 Nm, R = 300 mm</w:t>
            </w:r>
          </w:p>
        </w:tc>
      </w:tr>
      <w:tr>
        <w:trPr/>
        <w:tc>
          <w:tcPr>
            <w:tcW w:w="2500" w:type="dxa"/>
            <w:shd w:val="clear" w:fill="D9D9D9"/>
          </w:tcPr>
          <w:p>
            <w:pPr/>
            <w:r>
              <w:rPr/>
              <w:t xml:space="preserve">Kabelgewicht</w:t>
            </w:r>
          </w:p>
        </w:tc>
        <w:tc>
          <w:tcPr>
            <w:tcW w:w="7500" w:type="dxa"/>
          </w:tcPr>
          <w:p>
            <w:pPr/>
            <w:r>
              <w:rPr/>
              <w:t xml:space="preserve">15.0 kg/km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Transport und Lagerung</w:t>
            </w:r>
          </w:p>
        </w:tc>
        <w:tc>
          <w:tcPr>
            <w:tcW w:w="7500" w:type="dxa"/>
          </w:tcPr>
          <w:p>
            <w:pPr/>
            <w:r>
              <w:rPr/>
              <w:t xml:space="preserve">-40°C bis +80°C</w:t>
            </w:r>
          </w:p>
        </w:tc>
      </w:tr>
      <w:tr>
        <w:trPr/>
        <w:tc>
          <w:tcPr>
            <w:tcW w:w="2500" w:type="dxa"/>
            <w:shd w:val="clear" w:fill="D9D9D9"/>
          </w:tcPr>
          <w:p>
            <w:pPr/>
            <w:r>
              <w:rPr/>
              <w:t xml:space="preserve">Verlegung</w:t>
            </w:r>
          </w:p>
        </w:tc>
        <w:tc>
          <w:tcPr>
            <w:tcW w:w="7500" w:type="dxa"/>
          </w:tcPr>
          <w:p>
            <w:pPr/>
            <w:r>
              <w:rPr/>
              <w:t xml:space="preserve">-20°C bis +50°C</w:t>
            </w:r>
          </w:p>
        </w:tc>
      </w:tr>
      <w:tr>
        <w:trPr/>
        <w:tc>
          <w:tcPr>
            <w:tcW w:w="2500" w:type="dxa"/>
            <w:shd w:val="clear" w:fill="D9D9D9"/>
          </w:tcPr>
          <w:p>
            <w:pPr/>
            <w:r>
              <w:rPr/>
              <w:t xml:space="preserve">Im Betrieb nach IEC 60794-1-2 F1</w:t>
            </w:r>
          </w:p>
        </w:tc>
        <w:tc>
          <w:tcPr>
            <w:tcW w:w="7500" w:type="dxa"/>
          </w:tcPr>
          <w:p>
            <w:pPr/>
            <w:r>
              <w:rPr/>
              <w:t xml:space="preserve">-40°C bis +80°C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Flammwidrigkeit</w:t>
            </w:r>
          </w:p>
        </w:tc>
        <w:tc>
          <w:tcPr>
            <w:tcW w:w="7500" w:type="dxa"/>
          </w:tcPr>
          <w:p>
            <w:pPr/>
            <w:r>
              <w:rPr/>
              <w:t xml:space="preserve">gemäß IEC 60332-1-2</w:t>
            </w:r>
          </w:p>
        </w:tc>
      </w:tr>
      <w:tr>
        <w:trPr/>
        <w:tc>
          <w:tcPr>
            <w:tcW w:w="2500" w:type="dxa"/>
            <w:shd w:val="clear" w:fill="D9D9D9"/>
          </w:tcPr>
          <w:p>
            <w:pPr/>
            <w:r>
              <w:rPr/>
              <w:t xml:space="preserve">Rauchdichte</w:t>
            </w:r>
          </w:p>
        </w:tc>
        <w:tc>
          <w:tcPr>
            <w:tcW w:w="7500" w:type="dxa"/>
          </w:tcPr>
          <w:p>
            <w:pPr/>
            <w:r>
              <w:rPr/>
              <w:t xml:space="preserve">gemäß IEC 61034</w:t>
            </w:r>
          </w:p>
        </w:tc>
      </w:tr>
      <w:tr>
        <w:trPr/>
        <w:tc>
          <w:tcPr>
            <w:tcW w:w="2500" w:type="dxa"/>
            <w:shd w:val="clear" w:fill="D9D9D9"/>
          </w:tcPr>
          <w:p>
            <w:pPr/>
            <w:r>
              <w:rPr/>
              <w:t xml:space="preserve">Halogenfreiheit</w:t>
            </w:r>
          </w:p>
        </w:tc>
        <w:tc>
          <w:tcPr>
            <w:tcW w:w="7500" w:type="dxa"/>
          </w:tcPr>
          <w:p>
            <w:pPr/>
            <w:r>
              <w:rPr/>
              <w:t xml:space="preserve">gemäß IEC 60754-1</w:t>
            </w:r>
          </w:p>
        </w:tc>
      </w:tr>
      <w:tr>
        <w:trPr/>
        <w:tc>
          <w:tcPr>
            <w:tcW w:w="2500" w:type="dxa"/>
            <w:shd w:val="clear" w:fill="D9D9D9"/>
          </w:tcPr>
          <w:p>
            <w:pPr/>
            <w:r>
              <w:rPr/>
              <w:t xml:space="preserve">Azidität der Brandgase</w:t>
            </w:r>
          </w:p>
        </w:tc>
        <w:tc>
          <w:tcPr>
            <w:tcW w:w="7500" w:type="dxa"/>
          </w:tcPr>
          <w:p>
            <w:pPr/>
            <w:r>
              <w:rPr/>
              <w:t xml:space="preserve">gemäß IEC 60754-2</w:t>
            </w:r>
          </w:p>
        </w:tc>
      </w:tr>
      <w:tr>
        <w:trPr/>
        <w:tc>
          <w:tcPr>
            <w:tcW w:w="2500" w:type="dxa"/>
            <w:shd w:val="clear" w:fill="D9D9D9"/>
          </w:tcPr>
          <w:p>
            <w:pPr/>
            <w:r>
              <w:rPr/>
              <w:t xml:space="preserve">Bandlast</w:t>
            </w:r>
          </w:p>
        </w:tc>
        <w:tc>
          <w:tcPr>
            <w:tcW w:w="7500" w:type="dxa"/>
          </w:tcPr>
          <w:p>
            <w:pPr/>
            <w:r>
              <w:rPr/>
              <w:t xml:space="preserve">0.17 MJ/m</w:t>
            </w:r>
          </w:p>
        </w:tc>
      </w:tr>
      <w:tr>
        <w:trPr/>
        <w:tc>
          <w:tcPr>
            <w:tcW w:w="2500" w:type="dxa"/>
            <w:shd w:val="clear" w:fill="D9D9D9"/>
          </w:tcPr>
          <w:p>
            <w:pPr/>
            <w:r>
              <w:rPr/>
              <w:t xml:space="preserve">Brandverhalten (Euroklassen)</w:t>
            </w:r>
          </w:p>
        </w:tc>
        <w:tc>
          <w:tcPr>
            <w:tcW w:w="7500" w:type="dxa"/>
          </w:tcPr>
          <w:p>
            <w:pPr/>
            <w:r>
              <w:rPr/>
              <w:t xml:space="preserve">Dca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Chemische Eigenschaften</w:t>
            </w:r>
          </w:p>
        </w:tc>
        <w:tc>
          <w:tcPr>
            <w:tcW w:w="7500" w:type="dxa"/>
          </w:tcPr>
          <w:p>
            <w:pPr/>
            <w:r>
              <w:rPr/>
              <w:t xml:space="preserve">Keine Beständigkeit gegen Öl, Benzin, Säuren und Laugen</w:t>
            </w:r>
          </w:p>
        </w:tc>
      </w:tr>
      <w:tr>
        <w:trPr/>
        <w:tc>
          <w:tcPr>
            <w:tcW w:w="2500" w:type="dxa"/>
            <w:shd w:val="clear" w:fill="D9D9D9"/>
          </w:tcPr>
          <w:p>
            <w:pPr/>
            <w:r>
              <w:rPr/>
              <w:t xml:space="preserve">Normung</w:t>
            </w:r>
          </w:p>
        </w:tc>
        <w:tc>
          <w:tcPr>
            <w:tcW w:w="7500" w:type="dxa"/>
          </w:tcPr>
          <w:p>
            <w:pPr/>
            <w:r>
              <w:rPr/>
              <w:t xml:space="preserve">IEC 60794-2</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TML-MP/MP50I12G5Bxxx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2024-04-23T12:06:47+00:00</dcterms:created>
  <dcterms:modified xsi:type="dcterms:W3CDTF">2024-04-23T12:06:47+00:00</dcterms:modified>
</cp:coreProperties>
</file>

<file path=docProps/custom.xml><?xml version="1.0" encoding="utf-8"?>
<Properties xmlns="http://schemas.openxmlformats.org/officeDocument/2006/custom-properties" xmlns:vt="http://schemas.openxmlformats.org/officeDocument/2006/docPropsVTypes"/>
</file>