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patch cord both sides 1x MPO/MTP® Female 12G50/125µ OM5 LSOH, Type B, Length: xxx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Patch cord MPO/MTP® SR4
</w:t>
      </w:r>
    </w:p>
    <w:p>
      <w:pPr/>
      <w:r>
        <w:rPr/>
        <w:t xml:space="preserve">**TECHNISCHE_DATEN
</w:t>
      </w:r>
    </w:p>
    <w:p>
      <w:pPr/>
      <w:r>
        <w:rPr/>
        <w:t xml:space="preserve">The tML®- FO patch cord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3 mm, loose tube, LSOH, limegreen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unsensitive ClearCurve® Corning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 Push Pull (limegreen)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unfilled (FRNC)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  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mm with 12 optical fibres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Tube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 code fibres (1-12)</w:t>
            </w:r>
          </w:p>
        </w:tc>
        <w:tc>
          <w:tcPr>
            <w:tcW w:w="7500" w:type="dxa"/>
          </w:tcPr>
          <w:p>
            <w:pPr/>
            <w:r>
              <w:rPr/>
              <w:t xml:space="preserve">red, green, blue, yellow, white, grey, brown, violet, turquoise, black, orange, pink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elements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Fiberglass-reinforced plastic (FRP)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Halogen-free and flame-retardant material (FRNC)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approx. 0.4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approx. 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lime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Inkjet - marking (black)</w:t>
            </w:r>
          </w:p>
        </w:tc>
        <w:tc>
          <w:tcPr>
            <w:tcW w:w="7500" w:type="dxa"/>
          </w:tcPr>
          <w:p>
            <w:pPr/>
            <w:r>
              <w:rPr/>
              <w:t xml:space="preserve">t d e – IVH12G50–MPO-OM5 LSZH (F.RoHS)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 fixed (static) acc. IEC 60794-1-2 E11A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outside diameter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 during assembly (dynamic), with additional tensile strain acc. IEC 60794-1-2 E6</w:t>
            </w:r>
          </w:p>
        </w:tc>
        <w:tc>
          <w:tcPr>
            <w:tcW w:w="7500" w:type="dxa"/>
          </w:tcPr>
          <w:p>
            <w:pPr/>
            <w:r>
              <w:rPr/>
              <w:t xml:space="preserve">15 x outside diameter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force acc. IEC 60794-1-2 E1, 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crush resistance acc. IEC 60794-1-2 E3, long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N/dm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crush resistance acc. IEC 60794-1-2 E3, 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1500 N/dm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15.0 kg/km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Transport and storage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+80°C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Verlegung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 use acc. IEC 60794-1-2 F1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+80°C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is flame-retardant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 61034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Halogen-free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Acidity of the combustion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0.17 MJ/m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Chemical characteristics</w:t>
            </w:r>
          </w:p>
        </w:tc>
        <w:tc>
          <w:tcPr>
            <w:tcW w:w="7500" w:type="dxa"/>
          </w:tcPr>
          <w:p>
            <w:pPr/>
            <w:r>
              <w:rPr/>
              <w:t xml:space="preserve">No resistance to oil, petrol, acid and leach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TML-MP/MP50I12G5Bxxx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2024-03-29T12:11:06+00:00</dcterms:created>
  <dcterms:modified xsi:type="dcterms:W3CDTF">2024-03-29T12:11:06+00:00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