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Finisar - SFP 4G Transceiver, Singlemode LC, 8.5 Gb/s, 10km
</w:t>
      </w:r>
    </w:p>
    <w:p>
      <w:pPr/>
      <w:r>
        <w:rPr/>
        <w:t xml:space="preserve">**Finisar - Transceiver
</w:t>
      </w:r>
    </w:p>
    <w:p>
      <w:pPr/>
      <w:r>
        <w:rPr/>
        <w:t xml:space="preserve">Finisar's broad product selection and innovative technology have made Finisar the optical module manufacturer of choice for all major networking equipment vendors worldwide. The products are fully compliant with Ethernet, Fiber Channel, Infiniband, SONET/SDH/OTN and PON standards and operate at data rates up to 100 Gb/s. They are capable of distances ranging from very short reach within a datacenter to campus, access, metro, and long-haul reaches. They feature outstanding performance over extended voltage and temperature ranges, while minimizing jitter, electromagnetic interference (EMI) and power dissipation.
</w:t>
      </w:r>
    </w:p>
    <w:p>
      <w:pPr/>
      <w:r>
        <w:rPr/>
        <w:t xml:space="preserve">**Transceivers
</w:t>
      </w:r>
    </w:p>
    <w:p>
      <w:pPr/>
      <w:r>
        <w:rPr/>
        <w:t xml:space="preserve">Finisar’s FTLF1424P2xCR and FTLF1424P2xCD Small Form Factor Pluggable (SFP) transceivers are compatible with the Small Form Factor Pluggable Multi-Sourcing Agreement (MSA). They are compatible with Fiber Channel FC-PI-2 Rev. 10.0 and rate selectable versions are also simultaneously compatible with Gigabit Ethernet as specified in IEEE Std 802.3. The product is RoHS compliant and lead-free per Directive 2002/95/EC and Finisar Application Note AN-2038.
</w:t>
      </w:r>
    </w:p>
    <w:p>
      <w:pPr/>
      <w:r>
        <w:rPr/>
        <w:t xml:space="preserve">**TECHNISCHE_DATEN
</w:t>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Key Features</w:t>
            </w:r>
          </w:p>
        </w:tc>
        <w:tc>
          <w:tcPr>
            <w:tcW w:w="7500" w:type="dxa"/>
          </w:tcPr>
          <w:p>
            <w:pPr/>
            <w:r>
              <w:rPr/>
              <w:t xml:space="preserve">Up to 8.5 Gb/s bi-directional data links</w:t>
            </w:r>
          </w:p>
        </w:tc>
      </w:tr>
      <w:tr>
        <w:trPr/>
        <w:tc>
          <w:tcPr>
            <w:tcW w:w="2500" w:type="dxa"/>
            <w:shd w:val="clear" w:fill="D9D9D9"/>
          </w:tcPr>
          <w:p>
            <w:pPr/>
            <w:r>
              <w:rPr/>
              <w:t xml:space="preserve"> </w:t>
            </w:r>
          </w:p>
        </w:tc>
        <w:tc>
          <w:tcPr>
            <w:tcW w:w="7500" w:type="dxa"/>
          </w:tcPr>
          <w:p>
            <w:pPr/>
            <w:r>
              <w:rPr/>
              <w:t xml:space="preserve">Hot-pluggable SFP footprint</w:t>
            </w:r>
          </w:p>
        </w:tc>
      </w:tr>
      <w:tr>
        <w:trPr/>
        <w:tc>
          <w:tcPr>
            <w:tcW w:w="2500" w:type="dxa"/>
            <w:shd w:val="clear" w:fill="D9D9D9"/>
          </w:tcPr>
          <w:p>
            <w:pPr/>
            <w:r>
              <w:rPr/>
              <w:t xml:space="preserve"> </w:t>
            </w:r>
          </w:p>
        </w:tc>
        <w:tc>
          <w:tcPr>
            <w:tcW w:w="7500" w:type="dxa"/>
          </w:tcPr>
          <w:p>
            <w:pPr/>
            <w:r>
              <w:rPr/>
              <w:t xml:space="preserve">Built-in digital diagnostic functions</w:t>
            </w:r>
          </w:p>
        </w:tc>
      </w:tr>
      <w:tr>
        <w:trPr/>
        <w:tc>
          <w:tcPr>
            <w:tcW w:w="2500" w:type="dxa"/>
            <w:shd w:val="clear" w:fill="D9D9D9"/>
          </w:tcPr>
          <w:p>
            <w:pPr/>
            <w:r>
              <w:rPr/>
              <w:t xml:space="preserve"> </w:t>
            </w:r>
          </w:p>
        </w:tc>
        <w:tc>
          <w:tcPr>
            <w:tcW w:w="7500" w:type="dxa"/>
          </w:tcPr>
          <w:p>
            <w:pPr/>
            <w:r>
              <w:rPr/>
              <w:t xml:space="preserve">1310nm DFB laser transmitter</w:t>
            </w:r>
          </w:p>
        </w:tc>
      </w:tr>
      <w:tr>
        <w:trPr/>
        <w:tc>
          <w:tcPr>
            <w:tcW w:w="2500" w:type="dxa"/>
            <w:shd w:val="clear" w:fill="D9D9D9"/>
          </w:tcPr>
          <w:p>
            <w:pPr/>
            <w:r>
              <w:rPr/>
              <w:t xml:space="preserve"> </w:t>
            </w:r>
          </w:p>
        </w:tc>
        <w:tc>
          <w:tcPr>
            <w:tcW w:w="7500" w:type="dxa"/>
          </w:tcPr>
          <w:p>
            <w:pPr/>
            <w:r>
              <w:rPr/>
              <w:t xml:space="preserve">Duplex LC connector</w:t>
            </w:r>
          </w:p>
        </w:tc>
      </w:tr>
      <w:tr>
        <w:trPr/>
        <w:tc>
          <w:tcPr>
            <w:tcW w:w="2500" w:type="dxa"/>
            <w:shd w:val="clear" w:fill="D9D9D9"/>
          </w:tcPr>
          <w:p>
            <w:pPr/>
            <w:r>
              <w:rPr/>
              <w:t xml:space="preserve"> </w:t>
            </w:r>
          </w:p>
        </w:tc>
        <w:tc>
          <w:tcPr>
            <w:tcW w:w="7500" w:type="dxa"/>
          </w:tcPr>
          <w:p>
            <w:pPr/>
            <w:r>
              <w:rPr/>
              <w:t xml:space="preserve">RoHS compliant and Lead-Free</w:t>
            </w:r>
          </w:p>
        </w:tc>
      </w:tr>
      <w:tr>
        <w:trPr/>
        <w:tc>
          <w:tcPr>
            <w:tcW w:w="2500" w:type="dxa"/>
            <w:shd w:val="clear" w:fill="D9D9D9"/>
          </w:tcPr>
          <w:p>
            <w:pPr/>
            <w:r>
              <w:rPr/>
              <w:t xml:space="preserve"> </w:t>
            </w:r>
          </w:p>
        </w:tc>
        <w:tc>
          <w:tcPr>
            <w:tcW w:w="7500" w:type="dxa"/>
          </w:tcPr>
          <w:p>
            <w:pPr/>
            <w:r>
              <w:rPr/>
              <w:t xml:space="preserve">Up to 10 km on 9/125 μm SMF</w:t>
            </w:r>
          </w:p>
        </w:tc>
      </w:tr>
      <w:tr>
        <w:trPr/>
        <w:tc>
          <w:tcPr>
            <w:tcW w:w="2500" w:type="dxa"/>
            <w:shd w:val="clear" w:fill="D9D9D9"/>
          </w:tcPr>
          <w:p>
            <w:pPr/>
            <w:r>
              <w:rPr/>
              <w:t xml:space="preserve"> </w:t>
            </w:r>
          </w:p>
        </w:tc>
        <w:tc>
          <w:tcPr>
            <w:tcW w:w="7500" w:type="dxa"/>
          </w:tcPr>
          <w:p>
            <w:pPr/>
            <w:r>
              <w:rPr/>
              <w:t xml:space="preserve">Metal enclosure, for lower EMI</w:t>
            </w:r>
          </w:p>
        </w:tc>
      </w:tr>
      <w:tr>
        <w:trPr/>
        <w:tc>
          <w:tcPr>
            <w:tcW w:w="2500" w:type="dxa"/>
            <w:shd w:val="clear" w:fill="D9D9D9"/>
          </w:tcPr>
          <w:p>
            <w:pPr/>
            <w:r>
              <w:rPr/>
              <w:t xml:space="preserve"> </w:t>
            </w:r>
          </w:p>
        </w:tc>
        <w:tc>
          <w:tcPr>
            <w:tcW w:w="7500" w:type="dxa"/>
          </w:tcPr>
          <w:p>
            <w:pPr/>
            <w:r>
              <w:rPr/>
              <w:t xml:space="preserve">Single 3.3 V power supply</w:t>
            </w:r>
          </w:p>
        </w:tc>
      </w:tr>
      <w:tr>
        <w:trPr/>
        <w:tc>
          <w:tcPr>
            <w:tcW w:w="2500" w:type="dxa"/>
            <w:shd w:val="clear" w:fill="D9D9D9"/>
          </w:tcPr>
          <w:p>
            <w:pPr/>
            <w:r>
              <w:rPr/>
              <w:t xml:space="preserve"> </w:t>
            </w:r>
          </w:p>
        </w:tc>
        <w:tc>
          <w:tcPr>
            <w:tcW w:w="7500" w:type="dxa"/>
          </w:tcPr>
          <w:p>
            <w:pPr/>
            <w:r>
              <w:rPr/>
              <w:t xml:space="preserve">Industrial operating temperature range: -5°C to +85°C</w:t>
            </w:r>
          </w:p>
        </w:tc>
      </w:tr>
    </w:tbl>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Applications</w:t>
            </w:r>
          </w:p>
        </w:tc>
        <w:tc>
          <w:tcPr>
            <w:tcW w:w="7500" w:type="dxa"/>
          </w:tcPr>
          <w:p>
            <w:pPr/>
            <w:r>
              <w:rPr/>
              <w:t xml:space="preserve">1.25Gb/s Gigabit Ethernet</w:t>
            </w:r>
          </w:p>
        </w:tc>
      </w:tr>
      <w:tr>
        <w:trPr/>
        <w:tc>
          <w:tcPr>
            <w:tcW w:w="2500" w:type="dxa"/>
            <w:shd w:val="clear" w:fill="D9D9D9"/>
          </w:tcPr>
          <w:p>
            <w:pPr/>
            <w:r>
              <w:rPr/>
              <w:t xml:space="preserve"> </w:t>
            </w:r>
          </w:p>
        </w:tc>
        <w:tc>
          <w:tcPr>
            <w:tcW w:w="7500" w:type="dxa"/>
          </w:tcPr>
          <w:p>
            <w:pPr/>
            <w:r>
              <w:rPr/>
              <w:t xml:space="preserve">Tri Rate 2.125 / 4.25 / 8.5 Gb/s Fiber Channel</w:t>
            </w:r>
          </w:p>
        </w:tc>
      </w:tr>
    </w:tbl>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On request also available for</w:t>
            </w:r>
          </w:p>
        </w:tc>
        <w:tc>
          <w:tcPr>
            <w:tcW w:w="7500" w:type="dxa"/>
          </w:tcPr>
          <w:p>
            <w:pPr/>
            <w:r>
              <w:rPr/>
              <w:t xml:space="preserve">Brocade - XBR-000144</w:t>
            </w:r>
          </w:p>
        </w:tc>
      </w:tr>
      <w:tr>
        <w:trPr/>
        <w:tc>
          <w:tcPr>
            <w:tcW w:w="2500" w:type="dxa"/>
            <w:shd w:val="clear" w:fill="D9D9D9"/>
          </w:tcPr>
          <w:p>
            <w:pPr/>
            <w:r>
              <w:rPr/>
              <w:t xml:space="preserve"> </w:t>
            </w:r>
          </w:p>
        </w:tc>
        <w:tc>
          <w:tcPr>
            <w:tcW w:w="7500" w:type="dxa"/>
          </w:tcPr>
          <w:p>
            <w:pPr/>
            <w:r>
              <w:rPr/>
              <w:t xml:space="preserve">Qlogic NIC - FTLF1424P2BCD</w:t>
            </w:r>
          </w:p>
        </w:tc>
      </w:tr>
    </w:tbl>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Weblink</w:t>
            </w:r>
          </w:p>
        </w:tc>
        <w:tc>
          <w:tcPr>
            <w:tcW w:w="7500" w:type="dxa"/>
          </w:tcPr>
          <w:p>
            <w:pPr/>
            <w:r>
              <w:rPr/>
              <w:t xml:space="preserve">https://www.finisar.com/optical-transceivers/ftlf1428p3bnv</w:t>
            </w:r>
          </w:p>
        </w:tc>
      </w:tr>
    </w:tbl>
    <w:p>
      <w:pPr/>
      <w:r>
        <w:rPr/>
        <w:t xml:space="preserve"/>
      </w:r>
    </w:p>
    <w:sectPr>
      <w:headerReference w:type="default" r:id="rId7"/>
      <w:head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Liefern und montieren von FTLF1428P3BNV</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head-left">
    <w:name w:val="head-left"/>
    <w:uiPriority w:val="99"/>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style>
  <w:style w:type="table" w:customStyle="1" w:styleId="head-top">
    <w:name w:val="head-top"/>
    <w:uiPriority w:val="99"/>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blStylePr w:type="firstRow">
      <w:tcPr>
        <w:tcPr>
          <w:shd w:val="clear" w:fill="D9D9D9"/>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2024-09-20T02:34:43+00:00</dcterms:created>
  <dcterms:modified xsi:type="dcterms:W3CDTF">2024-09-20T02:34:43+00:00</dcterms:modified>
</cp:coreProperties>
</file>

<file path=docProps/custom.xml><?xml version="1.0" encoding="utf-8"?>
<Properties xmlns="http://schemas.openxmlformats.org/officeDocument/2006/custom-properties" xmlns:vt="http://schemas.openxmlformats.org/officeDocument/2006/docPropsVTypes"/>
</file>