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Universal-Kabel (SingleTube); gelgefüllte zen. Bündelader; 3KN Zugfest.; nichtm. Nagetierschutz
</w:t>
      </w:r>
    </w:p>
    <w:p>
      <w:pPr/>
      <w:r>
        <w:rPr/>
        <w:t xml:space="preserve">**tde - LWL Universal Kabel
</w:t>
      </w:r>
    </w:p>
    <w:p>
      <w:pPr/>
      <w:r>
        <w:rPr/>
        <w:t xml:space="preserve">Universelle LWL-Innen-/Außenkabel mit zentraler Bündelader dienen als Hauseinführungskabel zur direkten
Erd- oder Röhrenverlegung und als flammwidriges Steigekabel im Innenbereich. Die zentrale Anordnung der
Fasern erlaubt einen kostengünstigen und dünnen Kabelaufbau. 
Universelle LWL-Innen-/Außenkabel mit verseilten Bündeladern werden im Primär (campus backbone) und Sekundär-Bereich (building backbone) eingesetzt, wo eine Faserzahl von mehr als 24 benötigt wird. Die kompakte Bündeladerkonstruktion erlaubt eine hohe Konzentration von Fasern und erleichtert somit das Fasermanagement in den Verteilanlagen. 
Die Kabel sind UV-beständig, metallfrei, längswasserdicht, hochzugfest, halogenfrei flammwidrig und sowohl für Innenverlegung als auch für direkte Erdverlegung (in entsprechendem Sandbett) geeignet.
</w:t>
      </w:r>
    </w:p>
    <w:p>
      <w:pPr/>
      <w:r>
        <w:rPr/>
        <w:t xml:space="preserve">**LWL Kabel
</w:t>
      </w:r>
    </w:p>
    <w:p>
      <w:pPr/>
      <w:r>
        <w:rPr/>
        <w:t xml:space="preserve">Leistungsmerkmale
• Robustes, metallfreies Glasfaser Innen- und Aussenkabel mit verseilten Bündeladern.
• Hohe Querdruckfestigkeit für hohe Übertragungssicherheit.
• Montagefreundlicher Aufbau dank trockenen Verseilhohlräumen.
• Nagetierschutz aus Glasfilamenten.
• Zwei farbige, leicht identifizierbare Aufreisszwirne sorgen für sicheres Öffnen des Kabelmantels.
• Flammwidriger halogenfreier Aufbau mit FR/LSOH Mantel.
Anwendung
• LAN Backbone, Access und Steigzone
• Verbindungskabel zwischen Gebäude- und/oder Etagenverteilern
• Verlegbar in Rohranlagen, Kabelpritschen, Brüstungskanälen und Vertikalschächten
• Zum Spleißen in allen Verteilern und Muffen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Temperaturbereich</w:t>
            </w:r>
          </w:p>
        </w:tc>
        <w:tc>
          <w:tcPr>
            <w:tcW w:w="7500" w:type="dxa"/>
          </w:tcPr>
          <w:p>
            <w:pPr/>
            <w:r>
              <w:rPr/>
              <w:t xml:space="preserve">Lagerung -25 bis +70°C, IEC 60794-1-22 F1</w:t>
            </w:r>
          </w:p>
        </w:tc>
      </w:tr>
      <w:tr>
        <w:trPr/>
        <w:tc>
          <w:tcPr>
            <w:tcW w:w="2500" w:type="dxa"/>
            <w:shd w:val="clear" w:fill="D9D9D9"/>
          </w:tcPr>
          <w:p>
            <w:pPr/>
            <w:r>
              <w:rPr/>
              <w:t xml:space="preserve"> </w:t>
            </w:r>
          </w:p>
        </w:tc>
        <w:tc>
          <w:tcPr>
            <w:tcW w:w="7500" w:type="dxa"/>
          </w:tcPr>
          <w:p>
            <w:pPr/>
            <w:r>
              <w:rPr/>
              <w:t xml:space="preserve">Einzug -10 bis +50°C</w:t>
            </w:r>
          </w:p>
        </w:tc>
      </w:tr>
      <w:tr>
        <w:trPr/>
        <w:tc>
          <w:tcPr>
            <w:tcW w:w="2500" w:type="dxa"/>
            <w:shd w:val="clear" w:fill="D9D9D9"/>
          </w:tcPr>
          <w:p>
            <w:pPr/>
            <w:r>
              <w:rPr/>
              <w:t xml:space="preserve"> </w:t>
            </w:r>
          </w:p>
        </w:tc>
        <w:tc>
          <w:tcPr>
            <w:tcW w:w="7500" w:type="dxa"/>
          </w:tcPr>
          <w:p>
            <w:pPr/>
            <w:r>
              <w:rPr/>
              <w:t xml:space="preserve">Betrieb -25 bis +60°C</w:t>
            </w:r>
          </w:p>
        </w:tc>
      </w:tr>
      <w:tr>
        <w:trPr/>
        <w:tc>
          <w:tcPr>
            <w:tcW w:w="2500" w:type="dxa"/>
            <w:shd w:val="clear" w:fill="D9D9D9"/>
          </w:tcPr>
          <w:p>
            <w:pPr/>
            <w:r>
              <w:rPr/>
              <w:t xml:space="preserve">Zugfestigkeit</w:t>
            </w:r>
          </w:p>
        </w:tc>
        <w:tc>
          <w:tcPr>
            <w:tcW w:w="7500" w:type="dxa"/>
          </w:tcPr>
          <w:p>
            <w:pPr/>
            <w:r>
              <w:rPr/>
              <w:t xml:space="preserve">IEC 60794-1-21 E1</w:t>
            </w:r>
          </w:p>
        </w:tc>
      </w:tr>
      <w:tr>
        <w:trPr/>
        <w:tc>
          <w:tcPr>
            <w:tcW w:w="2500" w:type="dxa"/>
            <w:shd w:val="clear" w:fill="D9D9D9"/>
          </w:tcPr>
          <w:p>
            <w:pPr/>
            <w:r>
              <w:rPr/>
              <w:t xml:space="preserve">Querdruck</w:t>
            </w:r>
          </w:p>
        </w:tc>
        <w:tc>
          <w:tcPr>
            <w:tcW w:w="7500" w:type="dxa"/>
          </w:tcPr>
          <w:p>
            <w:pPr/>
            <w:r>
              <w:rPr/>
              <w:t xml:space="preserve">IEC 60794-1-21 E3</w:t>
            </w:r>
          </w:p>
        </w:tc>
      </w:tr>
      <w:tr>
        <w:trPr/>
        <w:tc>
          <w:tcPr>
            <w:tcW w:w="2500" w:type="dxa"/>
            <w:shd w:val="clear" w:fill="D9D9D9"/>
          </w:tcPr>
          <w:p>
            <w:pPr/>
            <w:r>
              <w:rPr/>
              <w:t xml:space="preserve">Schlag</w:t>
            </w:r>
          </w:p>
        </w:tc>
        <w:tc>
          <w:tcPr>
            <w:tcW w:w="7500" w:type="dxa"/>
          </w:tcPr>
          <w:p>
            <w:pPr/>
            <w:r>
              <w:rPr/>
              <w:t xml:space="preserve">IEC 60794-1-21 E4</w:t>
            </w:r>
          </w:p>
        </w:tc>
      </w:tr>
      <w:tr>
        <w:trPr/>
        <w:tc>
          <w:tcPr>
            <w:tcW w:w="2500" w:type="dxa"/>
            <w:shd w:val="clear" w:fill="D9D9D9"/>
          </w:tcPr>
          <w:p>
            <w:pPr/>
            <w:r>
              <w:rPr/>
              <w:t xml:space="preserve">Wiederholte Biegung</w:t>
            </w:r>
          </w:p>
        </w:tc>
        <w:tc>
          <w:tcPr>
            <w:tcW w:w="7500" w:type="dxa"/>
          </w:tcPr>
          <w:p>
            <w:pPr/>
            <w:r>
              <w:rPr/>
              <w:t xml:space="preserve">IEC 60794-1-21 E6</w:t>
            </w:r>
          </w:p>
        </w:tc>
      </w:tr>
      <w:tr>
        <w:trPr/>
        <w:tc>
          <w:tcPr>
            <w:tcW w:w="2500" w:type="dxa"/>
            <w:shd w:val="clear" w:fill="D9D9D9"/>
          </w:tcPr>
          <w:p>
            <w:pPr/>
            <w:r>
              <w:rPr/>
              <w:t xml:space="preserve">Torsion</w:t>
            </w:r>
          </w:p>
        </w:tc>
        <w:tc>
          <w:tcPr>
            <w:tcW w:w="7500" w:type="dxa"/>
          </w:tcPr>
          <w:p>
            <w:pPr/>
            <w:r>
              <w:rPr/>
              <w:t xml:space="preserve">IEC 60794-1-21 E7</w:t>
            </w:r>
          </w:p>
        </w:tc>
      </w:tr>
      <w:tr>
        <w:trPr/>
        <w:tc>
          <w:tcPr>
            <w:tcW w:w="2500" w:type="dxa"/>
            <w:shd w:val="clear" w:fill="D9D9D9"/>
          </w:tcPr>
          <w:p>
            <w:pPr/>
            <w:r>
              <w:rPr/>
              <w:t xml:space="preserve">Kabelbiegung</w:t>
            </w:r>
          </w:p>
        </w:tc>
        <w:tc>
          <w:tcPr>
            <w:tcW w:w="7500" w:type="dxa"/>
          </w:tcPr>
          <w:p>
            <w:pPr/>
            <w:r>
              <w:rPr/>
              <w:t xml:space="preserve">IEC 60794-1-21 E11</w:t>
            </w:r>
          </w:p>
        </w:tc>
      </w:tr>
      <w:tr>
        <w:trPr/>
        <w:tc>
          <w:tcPr>
            <w:tcW w:w="2500" w:type="dxa"/>
            <w:shd w:val="clear" w:fill="D9D9D9"/>
          </w:tcPr>
          <w:p>
            <w:pPr/>
            <w:r>
              <w:rPr/>
              <w:t xml:space="preserve">Längswasserdichtigkeit</w:t>
            </w:r>
          </w:p>
        </w:tc>
        <w:tc>
          <w:tcPr>
            <w:tcW w:w="7500" w:type="dxa"/>
          </w:tcPr>
          <w:p>
            <w:pPr/>
            <w:r>
              <w:rPr/>
              <w:t xml:space="preserve">IEC 60794-1-22 F5</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Mantelfarbe</w:t>
            </w:r>
          </w:p>
        </w:tc>
        <w:tc>
          <w:tcPr>
            <w:tcW w:w="7500" w:type="dxa"/>
          </w:tcPr>
          <w:p>
            <w:pPr/>
            <w:r>
              <w:rPr/>
              <w:t xml:space="preserve">grün, ähnlich RAL 6016</w:t>
            </w:r>
          </w:p>
        </w:tc>
      </w:tr>
      <w:tr>
        <w:trPr/>
        <w:tc>
          <w:tcPr>
            <w:tcW w:w="2500" w:type="dxa"/>
            <w:shd w:val="clear" w:fill="D9D9D9"/>
          </w:tcPr>
          <w:p>
            <w:pPr/>
            <w:r>
              <w:rPr/>
              <w:t xml:space="preserve">Halogenfreiheit, Korrosivität</w:t>
            </w:r>
          </w:p>
        </w:tc>
        <w:tc>
          <w:tcPr>
            <w:tcW w:w="7500" w:type="dxa"/>
          </w:tcPr>
          <w:p>
            <w:pPr/>
            <w:r>
              <w:rPr/>
              <w:t xml:space="preserve">IEC 60754-1/-2, EN 60754-1/-2, VDE 0482-754-1/-2</w:t>
            </w:r>
          </w:p>
        </w:tc>
      </w:tr>
      <w:tr>
        <w:trPr/>
        <w:tc>
          <w:tcPr>
            <w:tcW w:w="2500" w:type="dxa"/>
            <w:shd w:val="clear" w:fill="D9D9D9"/>
          </w:tcPr>
          <w:p>
            <w:pPr/>
            <w:r>
              <w:rPr/>
              <w:t xml:space="preserve">Flammwidrigkeit</w:t>
            </w:r>
          </w:p>
        </w:tc>
        <w:tc>
          <w:tcPr>
            <w:tcW w:w="7500" w:type="dxa"/>
          </w:tcPr>
          <w:p>
            <w:pPr/>
            <w:r>
              <w:rPr/>
              <w:t xml:space="preserve">IEC 60332-1-2, EN 60332-1-2, VDE 0482-332-1-2</w:t>
            </w:r>
          </w:p>
        </w:tc>
      </w:tr>
      <w:tr>
        <w:trPr/>
        <w:tc>
          <w:tcPr>
            <w:tcW w:w="2500" w:type="dxa"/>
            <w:shd w:val="clear" w:fill="D9D9D9"/>
          </w:tcPr>
          <w:p>
            <w:pPr/>
            <w:r>
              <w:rPr/>
              <w:t xml:space="preserve">Brandfortleitung</w:t>
            </w:r>
          </w:p>
        </w:tc>
        <w:tc>
          <w:tcPr>
            <w:tcW w:w="7500" w:type="dxa"/>
          </w:tcPr>
          <w:p>
            <w:pPr/>
            <w:r>
              <w:rPr/>
              <w:t xml:space="preserve">IEC 60332-3-24, EN 50266-2-4, VDE 0482-266-2-4</w:t>
            </w:r>
          </w:p>
        </w:tc>
      </w:tr>
      <w:tr>
        <w:trPr/>
        <w:tc>
          <w:tcPr>
            <w:tcW w:w="2500" w:type="dxa"/>
            <w:shd w:val="clear" w:fill="D9D9D9"/>
          </w:tcPr>
          <w:p>
            <w:pPr/>
            <w:r>
              <w:rPr/>
              <w:t xml:space="preserve">Rauchgasdichte</w:t>
            </w:r>
          </w:p>
        </w:tc>
        <w:tc>
          <w:tcPr>
            <w:tcW w:w="7500" w:type="dxa"/>
          </w:tcPr>
          <w:p>
            <w:pPr/>
            <w:r>
              <w:rPr/>
              <w:t xml:space="preserve">IEC 61034-1/-2, EN 61034-1/-2, VDE 0482-1034-1/-2</w:t>
            </w:r>
          </w:p>
        </w:tc>
      </w:tr>
      <w:tr>
        <w:trPr/>
        <w:tc>
          <w:tcPr>
            <w:tcW w:w="2500" w:type="dxa"/>
            <w:shd w:val="clear" w:fill="D9D9D9"/>
          </w:tcPr>
          <w:p>
            <w:pPr/>
            <w:r>
              <w:rPr/>
              <w:t xml:space="preserve">Brandverhalten (Euroklassen)</w:t>
            </w:r>
          </w:p>
        </w:tc>
        <w:tc>
          <w:tcPr>
            <w:tcW w:w="7500" w:type="dxa"/>
          </w:tcPr>
          <w:p>
            <w:pPr/>
            <w:r>
              <w:rPr/>
              <w:t xml:space="preserve">EN 13501-6: Dca-s2,d1,a1</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Kabeltyp</w:t>
            </w:r>
          </w:p>
        </w:tc>
        <w:tc>
          <w:tcPr>
            <w:tcW w:w="7500" w:type="dxa"/>
          </w:tcPr>
          <w:p>
            <w:pPr/>
            <w:r>
              <w:rPr/>
              <w:t xml:space="preserve">Universal U-DQ(ZN)BH für innen und außen Anwendungen</w:t>
            </w:r>
          </w:p>
        </w:tc>
      </w:tr>
      <w:tr>
        <w:trPr/>
        <w:tc>
          <w:tcPr>
            <w:tcW w:w="2500" w:type="dxa"/>
            <w:shd w:val="clear" w:fill="D9D9D9"/>
          </w:tcPr>
          <w:p>
            <w:pPr/>
            <w:r>
              <w:rPr/>
              <w:t xml:space="preserve"> </w:t>
            </w:r>
          </w:p>
        </w:tc>
        <w:tc>
          <w:tcPr>
            <w:tcW w:w="7500" w:type="dxa"/>
          </w:tcPr>
          <w:p>
            <w:pPr/>
            <w:r>
              <w:rPr/>
              <w:t xml:space="preserve">metallfrei, trockene Verseilhohlräume, nagetiergeschützt, flammwidrig, entspricht IEC 60332.1 und IEC 60332.3 C</w:t>
            </w:r>
          </w:p>
        </w:tc>
      </w:tr>
      <w:tr>
        <w:trPr/>
        <w:tc>
          <w:tcPr>
            <w:tcW w:w="2500" w:type="dxa"/>
            <w:shd w:val="clear" w:fill="D9D9D9"/>
          </w:tcPr>
          <w:p>
            <w:pPr/>
            <w:r>
              <w:rPr/>
              <w:t xml:space="preserve">Fasertyp</w:t>
            </w:r>
          </w:p>
        </w:tc>
        <w:tc>
          <w:tcPr>
            <w:tcW w:w="7500" w:type="dxa"/>
          </w:tcPr>
          <w:p>
            <w:pPr/>
            <w:r>
              <w:rPr/>
              <w:t xml:space="preserve">Corning E9/125 G.652.D</w:t>
            </w:r>
          </w:p>
        </w:tc>
      </w:tr>
      <w:tr>
        <w:trPr/>
        <w:tc>
          <w:tcPr>
            <w:tcW w:w="2500" w:type="dxa"/>
            <w:shd w:val="clear" w:fill="D9D9D9"/>
          </w:tcPr>
          <w:p>
            <w:pPr/>
            <w:r>
              <w:rPr/>
              <w:t xml:space="preserve">Faserzahl</w:t>
            </w:r>
          </w:p>
        </w:tc>
        <w:tc>
          <w:tcPr>
            <w:tcW w:w="7500" w:type="dxa"/>
          </w:tcPr>
          <w:p>
            <w:pPr/>
            <w:r>
              <w:rPr/>
              <w:t xml:space="preserve">4</w:t>
            </w:r>
          </w:p>
        </w:tc>
      </w:tr>
      <w:tr>
        <w:trPr/>
        <w:tc>
          <w:tcPr>
            <w:tcW w:w="2500" w:type="dxa"/>
            <w:shd w:val="clear" w:fill="D9D9D9"/>
          </w:tcPr>
          <w:p>
            <w:pPr/>
            <w:r>
              <w:rPr/>
              <w:t xml:space="preserve">Bündeladern</w:t>
            </w:r>
          </w:p>
        </w:tc>
        <w:tc>
          <w:tcPr>
            <w:tcW w:w="7500" w:type="dxa"/>
          </w:tcPr>
          <w:p>
            <w:pPr/>
            <w:r>
              <w:rPr/>
              <w:t xml:space="preserve">1</w:t>
            </w:r>
          </w:p>
        </w:tc>
      </w:tr>
      <w:tr>
        <w:trPr/>
        <w:tc>
          <w:tcPr>
            <w:tcW w:w="2500" w:type="dxa"/>
            <w:shd w:val="clear" w:fill="D9D9D9"/>
          </w:tcPr>
          <w:p>
            <w:pPr/>
            <w:r>
              <w:rPr/>
              <w:t xml:space="preserve">ø Bündelader</w:t>
            </w:r>
          </w:p>
        </w:tc>
        <w:tc>
          <w:tcPr>
            <w:tcW w:w="7500" w:type="dxa"/>
          </w:tcPr>
          <w:p>
            <w:pPr/>
            <w:r>
              <w:rPr/>
              <w:t xml:space="preserve">ca. 2.2 mm</w:t>
            </w:r>
          </w:p>
        </w:tc>
      </w:tr>
      <w:tr>
        <w:trPr/>
        <w:tc>
          <w:tcPr>
            <w:tcW w:w="2500" w:type="dxa"/>
            <w:shd w:val="clear" w:fill="D9D9D9"/>
          </w:tcPr>
          <w:p>
            <w:pPr/>
            <w:r>
              <w:rPr/>
              <w:t xml:space="preserve">øüber Mantel</w:t>
            </w:r>
          </w:p>
        </w:tc>
        <w:tc>
          <w:tcPr>
            <w:tcW w:w="7500" w:type="dxa"/>
          </w:tcPr>
          <w:p>
            <w:pPr/>
            <w:r>
              <w:rPr/>
              <w:t xml:space="preserve">7.6 mm</w:t>
            </w:r>
          </w:p>
        </w:tc>
      </w:tr>
      <w:tr>
        <w:trPr/>
        <w:tc>
          <w:tcPr>
            <w:tcW w:w="2500" w:type="dxa"/>
            <w:shd w:val="clear" w:fill="D9D9D9"/>
          </w:tcPr>
          <w:p>
            <w:pPr/>
            <w:r>
              <w:rPr/>
              <w:t xml:space="preserve">Gewicht</w:t>
            </w:r>
          </w:p>
        </w:tc>
        <w:tc>
          <w:tcPr>
            <w:tcW w:w="7500" w:type="dxa"/>
          </w:tcPr>
          <w:p>
            <w:pPr/>
            <w:r>
              <w:rPr/>
              <w:t xml:space="preserve">67 kg/km</w:t>
            </w:r>
          </w:p>
        </w:tc>
      </w:tr>
      <w:tr>
        <w:trPr/>
        <w:tc>
          <w:tcPr>
            <w:tcW w:w="2500" w:type="dxa"/>
            <w:shd w:val="clear" w:fill="D9D9D9"/>
          </w:tcPr>
          <w:p>
            <w:pPr/>
            <w:r>
              <w:rPr/>
              <w:t xml:space="preserve">Biegeradius</w:t>
            </w:r>
          </w:p>
        </w:tc>
        <w:tc>
          <w:tcPr>
            <w:tcW w:w="7500" w:type="dxa"/>
          </w:tcPr>
          <w:p>
            <w:pPr/>
            <w:r>
              <w:rPr/>
              <w:t xml:space="preserve">115 mm</w:t>
            </w:r>
          </w:p>
        </w:tc>
      </w:tr>
      <w:tr>
        <w:trPr/>
        <w:tc>
          <w:tcPr>
            <w:tcW w:w="2500" w:type="dxa"/>
            <w:shd w:val="clear" w:fill="D9D9D9"/>
          </w:tcPr>
          <w:p>
            <w:pPr/>
            <w:r>
              <w:rPr/>
              <w:t xml:space="preserve">Zugkraft kurzzeitig</w:t>
            </w:r>
          </w:p>
        </w:tc>
        <w:tc>
          <w:tcPr>
            <w:tcW w:w="7500" w:type="dxa"/>
          </w:tcPr>
          <w:p>
            <w:pPr/>
            <w:r>
              <w:rPr/>
              <w:t xml:space="preserve">3.000 N</w:t>
            </w:r>
          </w:p>
        </w:tc>
      </w:tr>
      <w:tr>
        <w:trPr/>
        <w:tc>
          <w:tcPr>
            <w:tcW w:w="2500" w:type="dxa"/>
            <w:shd w:val="clear" w:fill="D9D9D9"/>
          </w:tcPr>
          <w:p>
            <w:pPr/>
            <w:r>
              <w:rPr/>
              <w:t xml:space="preserve">Zugkraft dauernd</w:t>
            </w:r>
          </w:p>
        </w:tc>
        <w:tc>
          <w:tcPr>
            <w:tcW w:w="7500" w:type="dxa"/>
          </w:tcPr>
          <w:p>
            <w:pPr/>
            <w:r>
              <w:rPr/>
              <w:t xml:space="preserve">1.000 N</w:t>
            </w:r>
          </w:p>
        </w:tc>
      </w:tr>
      <w:tr>
        <w:trPr/>
        <w:tc>
          <w:tcPr>
            <w:tcW w:w="2500" w:type="dxa"/>
            <w:shd w:val="clear" w:fill="D9D9D9"/>
          </w:tcPr>
          <w:p>
            <w:pPr/>
            <w:r>
              <w:rPr/>
              <w:t xml:space="preserve">Querdruck kurzzeitig</w:t>
            </w:r>
          </w:p>
        </w:tc>
        <w:tc>
          <w:tcPr>
            <w:tcW w:w="7500" w:type="dxa"/>
          </w:tcPr>
          <w:p>
            <w:pPr/>
            <w:r>
              <w:rPr/>
              <w:t xml:space="preserve">5.000 N</w:t>
            </w:r>
          </w:p>
        </w:tc>
      </w:tr>
      <w:tr>
        <w:trPr/>
        <w:tc>
          <w:tcPr>
            <w:tcW w:w="2500" w:type="dxa"/>
            <w:shd w:val="clear" w:fill="D9D9D9"/>
          </w:tcPr>
          <w:p>
            <w:pPr/>
            <w:r>
              <w:rPr/>
              <w:t xml:space="preserve">Querdruck dauernd</w:t>
            </w:r>
          </w:p>
        </w:tc>
        <w:tc>
          <w:tcPr>
            <w:tcW w:w="7500" w:type="dxa"/>
          </w:tcPr>
          <w:p>
            <w:pPr/>
            <w:r>
              <w:rPr/>
              <w:t xml:space="preserve">3.000 N</w:t>
            </w:r>
          </w:p>
        </w:tc>
      </w:tr>
      <w:tr>
        <w:trPr/>
        <w:tc>
          <w:tcPr>
            <w:tcW w:w="2500" w:type="dxa"/>
            <w:shd w:val="clear" w:fill="D9D9D9"/>
          </w:tcPr>
          <w:p>
            <w:pPr/>
            <w:r>
              <w:rPr/>
              <w:t xml:space="preserve">Brandlast</w:t>
            </w:r>
          </w:p>
        </w:tc>
        <w:tc>
          <w:tcPr>
            <w:tcW w:w="7500" w:type="dxa"/>
          </w:tcPr>
          <w:p>
            <w:pPr/>
            <w:r>
              <w:rPr/>
              <w:t xml:space="preserve">275 kWh/km</w:t>
            </w:r>
          </w:p>
        </w:tc>
      </w:tr>
      <w:tr>
        <w:trPr/>
        <w:tc>
          <w:tcPr>
            <w:tcW w:w="2500" w:type="dxa"/>
            <w:shd w:val="clear" w:fill="D9D9D9"/>
          </w:tcPr>
          <w:p>
            <w:pPr/>
            <w:r>
              <w:rPr/>
              <w:t xml:space="preserve"> </w:t>
            </w:r>
          </w:p>
        </w:tc>
        <w:tc>
          <w:tcPr>
            <w:tcW w:w="7500" w:type="dxa"/>
          </w:tcPr>
          <w:p>
            <w:pPr/>
            <w:r>
              <w:rPr/>
              <w:t xml:space="preserve">990 MJ/km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Toleranzen bei Längen bis 40m</w:t>
            </w:r>
          </w:p>
        </w:tc>
        <w:tc>
          <w:tcPr>
            <w:tcW w:w="7500" w:type="dxa"/>
          </w:tcPr>
          <w:p>
            <w:pPr/>
            <w:r>
              <w:rPr/>
              <w:t xml:space="preserve">± 100 cm</w:t>
            </w:r>
          </w:p>
        </w:tc>
      </w:tr>
      <w:tr>
        <w:trPr/>
        <w:tc>
          <w:tcPr>
            <w:tcW w:w="2500" w:type="dxa"/>
            <w:shd w:val="clear" w:fill="D9D9D9"/>
          </w:tcPr>
          <w:p>
            <w:pPr/>
            <w:r>
              <w:rPr/>
              <w:t xml:space="preserve">Toleranzen bei Längen bis 100m </w:t>
            </w:r>
          </w:p>
        </w:tc>
        <w:tc>
          <w:tcPr>
            <w:tcW w:w="7500" w:type="dxa"/>
          </w:tcPr>
          <w:p>
            <w:pPr/>
            <w:r>
              <w:rPr/>
              <w:t xml:space="preserve">± 100 cm</w:t>
            </w:r>
          </w:p>
        </w:tc>
      </w:tr>
      <w:tr>
        <w:trPr/>
        <w:tc>
          <w:tcPr>
            <w:tcW w:w="2500" w:type="dxa"/>
            <w:shd w:val="clear" w:fill="D9D9D9"/>
          </w:tcPr>
          <w:p>
            <w:pPr/>
            <w:r>
              <w:rPr/>
              <w:t xml:space="preserve">Toleranzen bei Längen ab 100m</w:t>
            </w:r>
          </w:p>
        </w:tc>
        <w:tc>
          <w:tcPr>
            <w:tcW w:w="7500" w:type="dxa"/>
          </w:tcPr>
          <w:p>
            <w:pPr/>
            <w:r>
              <w:rPr/>
              <w:t xml:space="preserve">± 2%</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U-DQ(ZN)BH1x04E09-OS2-7,6-GN-Dca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2025-04-03T12:17:29+00:00</dcterms:created>
  <dcterms:modified xsi:type="dcterms:W3CDTF">2025-04-03T12:17:29+00:00</dcterms:modified>
</cp:coreProperties>
</file>

<file path=docProps/custom.xml><?xml version="1.0" encoding="utf-8"?>
<Properties xmlns="http://schemas.openxmlformats.org/officeDocument/2006/custom-properties" xmlns:vt="http://schemas.openxmlformats.org/officeDocument/2006/docPropsVTypes"/>
</file>