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HD - LWL TAP Modul LC Duplex  4-fach 9/125µ OS2 10GBASE-LR 50:50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LWL TAP Module
</w:t>
      </w:r>
    </w:p>
    <w:p>
      <w:pPr/>
      <w:r>
        <w:rPr/>
        <w:t xml:space="preserve">Das tML®– LWL TAP Modul ist für den Einbau im 1HE tML® - Modulträger (für 8 x Module)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4 x LC Duplex (schwarz)  mit selbstschließenden Shuttern frontseitig</w:t>
            </w:r>
          </w:p>
        </w:tc>
      </w:tr>
      <w:tr>
        <w:trPr/>
        <w:tc>
          <w:tcPr>
            <w:tcW w:w="2500" w:type="dxa"/>
            <w:shd w:val="clear" w:fill="D9D9D9"/>
          </w:tcPr>
          <w:p>
            <w:pPr/>
            <w:r>
              <w:rPr/>
              <w:t xml:space="preserve">Ausgang</w:t>
            </w:r>
          </w:p>
        </w:tc>
        <w:tc>
          <w:tcPr>
            <w:tcW w:w="7500" w:type="dxa"/>
          </w:tcPr>
          <w:p>
            <w:pPr/>
            <w:r>
              <w:rPr/>
              <w:t xml:space="preserve">8 x LC Duplex (blau) mit selbstschließenden Shuttern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TML-M04LCDS09E-TAP50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2025-03-11T18:06:24+00:00</dcterms:created>
  <dcterms:modified xsi:type="dcterms:W3CDTF">2025-03-11T18:06:24+00:00</dcterms:modified>
</cp:coreProperties>
</file>

<file path=docProps/custom.xml><?xml version="1.0" encoding="utf-8"?>
<Properties xmlns="http://schemas.openxmlformats.org/officeDocument/2006/custom-properties" xmlns:vt="http://schemas.openxmlformats.org/officeDocument/2006/docPropsVTypes"/>
</file>