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E2000™ APC Simplex Adapter, grün
</w:t>
      </w:r>
    </w:p>
    <w:p>
      <w:pPr/>
      <w:r>
        <w:rPr/>
        <w:t xml:space="preserve">**LWL Komponenten
</w:t>
      </w:r>
    </w:p>
    <w:p>
      <w:pPr/>
      <w:r>
        <w:rPr/>
        <w:t xml:space="preserve">**LWL Adapter
</w:t>
      </w:r>
    </w:p>
    <w:p>
      <w:pPr/>
      <w:r>
        <w:rPr/>
        <w:t xml:space="preserve">**TECHNISCHE_DATEN
</w:t>
      </w:r>
    </w:p>
    <w:p>
      <w:pPr/>
      <w:r>
        <w:rPr/>
        <w:t xml:space="preserve"/>
      </w:r>
    </w:p>
    <w:tbl>
      <w:tblGrid>
        <w:gridCol w:w="2500" w:type="dxa"/>
        <w:gridCol w:w="7500" w:type="dxa"/>
      </w:tblGrid>
      <w:tblPr>
        <w:jc w:val="center"/>
        <w:tblW w:w="5000" w:type="pct"/>
        <w:tblLayout w:type="autofit"/>
        <w:tblCellMar>
          <w:top w:w="50" w:type="dxa"/>
          <w:left w:w="50" w:type="dxa"/>
          <w:right w:w="50" w:type="dxa"/>
          <w:bottom w:w="50" w:type="dxa"/>
        </w:tblCellMar>
        <w:tblBorders>
          <w:top w:val="single" w:sz="6" w:color="666666"/>
          <w:left w:val="single" w:sz="6" w:color="666666"/>
          <w:right w:val="single" w:sz="6" w:color="666666"/>
          <w:bottom w:val="single" w:sz="6" w:color="666666"/>
          <w:insideH w:val="single" w:sz="6" w:color="666666"/>
          <w:insideV w:val="single" w:sz="6" w:color="666666"/>
        </w:tblBorders>
      </w:tblP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Typ</w:t>
            </w:r>
          </w:p>
        </w:tc>
        <w:tc>
          <w:tcPr>
            <w:tcW w:w="7500" w:type="dxa"/>
          </w:tcPr>
          <w:p>
            <w:pPr/>
            <w:r>
              <w:rPr/>
              <w:t xml:space="preserve">E2000™ APC Simplex Adapter mit Flansch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Flansch</w:t>
            </w:r>
          </w:p>
        </w:tc>
        <w:tc>
          <w:tcPr>
            <w:tcW w:w="7500" w:type="dxa"/>
          </w:tcPr>
          <w:p>
            <w:pPr/>
            <w:r>
              <w:rPr/>
              <w:t xml:space="preserve">Kunststoff, 3.5mm Materialdicke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Unverlierbare Muttern aus Metall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Standards (Norm)</w:t>
            </w:r>
          </w:p>
        </w:tc>
        <w:tc>
          <w:tcPr>
            <w:tcW w:w="7500" w:type="dxa"/>
          </w:tcPr>
          <w:p>
            <w:pPr/>
            <w:r>
              <w:rPr/>
              <w:t xml:space="preserve">IEC61754-15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TIA 604-16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 </w:t>
            </w:r>
          </w:p>
        </w:tc>
        <w:tc>
          <w:tcPr>
            <w:tcW w:w="7500" w:type="dxa"/>
          </w:tcPr>
          <w:p>
            <w:pPr/>
            <w:r>
              <w:rPr/>
              <w:t xml:space="preserve">RoHS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Verbinderklasse</w:t>
            </w:r>
          </w:p>
        </w:tc>
        <w:tc>
          <w:tcPr>
            <w:tcW w:w="7500" w:type="dxa"/>
          </w:tcPr>
          <w:p>
            <w:pPr/>
            <w:r>
              <w:rPr/>
              <w:t xml:space="preserve">Kupplung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Anzahl Verbinder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1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Steckverbindertyp Anschluss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E2000™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Alinierungstechnologie</w:t>
            </w:r>
          </w:p>
        </w:tc>
        <w:tc>
          <w:tcPr>
            <w:tcW w:w="7500" w:type="dxa"/>
          </w:tcPr>
          <w:p>
            <w:pPr/>
            <w:r>
              <w:rPr/>
              <w:t xml:space="preserve">Vollkeramik Präzisions-Sleeve (Zirkonia Zr02)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IL Reproduzierbarkeit</w:t>
            </w:r>
          </w:p>
        </w:tc>
        <w:tc>
          <w:tcPr>
            <w:tcW w:w="7500" w:type="dxa"/>
          </w:tcPr>
          <w:p>
            <w:pPr/>
            <w:r>
              <w:rPr/>
              <w:t xml:space="preserve">&lt; 0.1dB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Steckzyklen</w:t>
            </w:r>
          </w:p>
        </w:tc>
        <w:tc>
          <w:tcPr>
            <w:tcW w:w="7500" w:type="dxa"/>
          </w:tcPr>
          <w:p>
            <w:pPr/>
            <w:r>
              <w:rPr/>
              <w:t xml:space="preserve">min. 1000 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Verbinderfarbe (A)</w:t>
            </w:r>
          </w:p>
        </w:tc>
        <w:tc>
          <w:tcPr>
            <w:tcW w:w="7500" w:type="dxa"/>
          </w:tcPr>
          <w:p>
            <w:pPr/>
            <w:r>
              <w:rPr/>
              <w:t xml:space="preserve">grün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Werkstoff der Hülse</w:t>
            </w:r>
          </w:p>
        </w:tc>
        <w:tc>
          <w:tcPr>
            <w:tcW w:w="7500" w:type="dxa"/>
          </w:tcPr>
          <w:p>
            <w:pPr/>
            <w:r>
              <w:rPr/>
              <w:t xml:space="preserve">Keramik</w:t>
            </w:r>
          </w:p>
        </w:tc>
      </w:tr>
      <w:tr>
        <w:trPr/>
        <w:tc>
          <w:tcPr>
            <w:tcW w:w="2500" w:type="dxa"/>
            <w:shd w:val="clear" w:fill="D9D9D9"/>
          </w:tcPr>
          <w:p>
            <w:pPr/>
            <w:r>
              <w:rPr/>
              <w:t xml:space="preserve">Faserart</w:t>
            </w:r>
          </w:p>
        </w:tc>
        <w:tc>
          <w:tcPr>
            <w:tcW w:w="7500" w:type="dxa"/>
          </w:tcPr>
          <w:p>
            <w:pPr/>
            <w:r>
              <w:rPr/>
              <w:t xml:space="preserve">Singlemode (SM)</w:t>
            </w:r>
          </w:p>
        </w:tc>
      </w:tr>
    </w:tbl>
    <w:p>
      <w:pPr/>
      <w:r>
        <w:rPr/>
        <w:t xml:space="preserve"/>
      </w:r>
    </w:p>
    <w:sectPr>
      <w:headerReference w:type="default" r:id="rId7"/>
      <w:head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Liefern und montieren von L-AD-E2AK-F-GN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head-left">
    <w:name w:val="head-left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</w:style>
  <w:style w:type="table" w:customStyle="1" w:styleId="head-top">
    <w:name w:val="head-top"/>
    <w:uiPriority w:val="99"/>
    <w:tblPr>
      <w:jc w:val="center"/>
      <w:tblW w:w="5000" w:type="pct"/>
      <w:tblLayout w:type="autofit"/>
      <w:tblCellMar>
        <w:top w:w="50" w:type="dxa"/>
        <w:left w:w="50" w:type="dxa"/>
        <w:right w:w="50" w:type="dxa"/>
        <w:bottom w:w="50" w:type="dxa"/>
      </w:tblCellMar>
      <w:tblBorders>
        <w:top w:val="single" w:sz="6" w:color="666666"/>
        <w:left w:val="single" w:sz="6" w:color="666666"/>
        <w:right w:val="single" w:sz="6" w:color="666666"/>
        <w:bottom w:val="single" w:sz="6" w:color="666666"/>
        <w:insideH w:val="single" w:sz="6" w:color="666666"/>
        <w:insideV w:val="single" w:sz="6" w:color="666666"/>
      </w:tblBorders>
    </w:tblPr>
    <w:tblStylePr w:type="firstRow">
      <w:tcPr>
        <w:tcPr>
          <w:shd w:val="clear" w:fill="D9D9D9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2025-04-04T06:39:46+00:00</dcterms:created>
  <dcterms:modified xsi:type="dcterms:W3CDTF">2025-04-04T06:39:46+00:00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