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header2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SGX5150 XL IOT DEVICE GATEWAY, WIRELESS 802.11A/B/G/N/AC, 2xRS232(RJ45), USB, 10/100 ETHERNET, 256M FLASH, W / INTERNAL 8G USB FLASH FOR STORAGE, US
</w:t>
      </w:r>
    </w:p>
    <w:p>
      <w:pPr/>
      <w:r>
        <w:rPr/>
        <w:t xml:space="preserve">**Lantronix / Transition Networks
</w:t>
      </w:r>
    </w:p>
    <w:p>
      <w:pPr/>
      <w:r>
        <w:rPr/>
        <w:t xml:space="preserve">**Direct Attach Cables / Active Optical Cables
</w:t>
      </w:r>
    </w:p>
    <w:p>
      <w:pPr/>
      <w:r>
        <w:rPr/>
        <w:t xml:space="preserve">A simple to install, cost-effective and interoperable solution
Often used for data center short-reach interconnects, Direct Attach, Active Copper and Active Optical Cables are an indispensable part of any network.
Terminated with transceiver-style connectors, they are designed to be used in the same ports as a typical SFP+ or QSFP transceiver, with no need for adapters or converters. Our DAC and AOC cables offer compatibility with a huge range of vendors, enabling the connectivity you need within the Top of Rack and End of Row environments.
• 10G, 25G, 40G &amp; 100G product solutions
• Seamless interoperability with network equipment
• Multi-code options enabling different OEM vendors at each end of the cable
• 4x breakout cables, 40G QSFP+ to 4x 10G SFP and 100G QSFP28 to 4x 25G SFP28
• Fast Delivery, Custom solutions
• Compatible with Over 90 Systems
• Savings of up to 70%
</w:t>
      </w:r>
    </w:p>
    <w:p>
      <w:pPr/>
      <w:r>
        <w:rPr/>
        <w:t xml:space="preserve">**IoT Gateways
</w:t>
      </w:r>
    </w:p>
    <w:p>
      <w:pPr/>
      <w:r>
        <w:rPr/>
        <w:t xml:space="preserve">**TECHNISCHE_DATEN
</w:t>
      </w:r>
    </w:p>
    <w:sectPr>
      <w:headerReference w:type="default" r:id="rId7"/>
      <w:head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Liefern und montieren von SGX51502N2US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head-left">
    <w:name w:val="head-left"/>
    <w:uiPriority w:val="99"/>
    <w:tblPr>
      <w:jc w:val="center"/>
      <w:tblW w:w="5000" w:type="pct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666666"/>
        <w:left w:val="single" w:sz="6" w:color="666666"/>
        <w:right w:val="single" w:sz="6" w:color="666666"/>
        <w:bottom w:val="single" w:sz="6" w:color="666666"/>
        <w:insideH w:val="single" w:sz="6" w:color="666666"/>
        <w:insideV w:val="single" w:sz="6" w:color="666666"/>
      </w:tblBorders>
    </w:tblPr>
  </w:style>
  <w:style w:type="table" w:customStyle="1" w:styleId="head-top">
    <w:name w:val="head-top"/>
    <w:uiPriority w:val="99"/>
    <w:tblPr>
      <w:jc w:val="center"/>
      <w:tblW w:w="5000" w:type="pct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666666"/>
        <w:left w:val="single" w:sz="6" w:color="666666"/>
        <w:right w:val="single" w:sz="6" w:color="666666"/>
        <w:bottom w:val="single" w:sz="6" w:color="666666"/>
        <w:insideH w:val="single" w:sz="6" w:color="666666"/>
        <w:insideV w:val="single" w:sz="6" w:color="666666"/>
      </w:tblBorders>
    </w:tblPr>
    <w:tblStylePr w:type="firstRow">
      <w:tcPr>
        <w:tcPr>
          <w:shd w:val="clear" w:fill="D9D9D9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2025-04-18T22:06:09+00:00</dcterms:created>
  <dcterms:modified xsi:type="dcterms:W3CDTF">2025-04-18T22:06:09+00:00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